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8F4" w:rsidRPr="00F20723" w:rsidRDefault="003348F4" w:rsidP="00F20723">
      <w:pPr>
        <w:jc w:val="center"/>
        <w:rPr>
          <w:rFonts w:ascii="Times New Roman" w:hAnsi="Times New Roman"/>
          <w:b/>
          <w:sz w:val="28"/>
          <w:szCs w:val="28"/>
        </w:rPr>
      </w:pPr>
      <w:r w:rsidRPr="00F20723">
        <w:rPr>
          <w:rFonts w:ascii="Times New Roman" w:hAnsi="Times New Roman"/>
          <w:b/>
          <w:sz w:val="28"/>
          <w:szCs w:val="28"/>
        </w:rPr>
        <w:t>О предоставлении согласия супруга при продаже недвижимости</w:t>
      </w:r>
    </w:p>
    <w:p w:rsidR="00DE3F31" w:rsidRPr="00F20723" w:rsidRDefault="0098730F" w:rsidP="00F20723">
      <w:pPr>
        <w:spacing w:after="0" w:line="240" w:lineRule="auto"/>
        <w:ind w:firstLine="708"/>
        <w:jc w:val="both"/>
        <w:rPr>
          <w:rFonts w:ascii="Times New Roman" w:hAnsi="Times New Roman"/>
          <w:sz w:val="28"/>
          <w:szCs w:val="28"/>
        </w:rPr>
      </w:pPr>
      <w:r w:rsidRPr="00F20723">
        <w:rPr>
          <w:rFonts w:ascii="Times New Roman" w:hAnsi="Times New Roman"/>
          <w:sz w:val="28"/>
          <w:szCs w:val="28"/>
        </w:rPr>
        <w:t>Имущество, нажитое супругами во время брака, является их совместной собственностью (</w:t>
      </w:r>
      <w:proofErr w:type="gramStart"/>
      <w:r w:rsidRPr="00F20723">
        <w:rPr>
          <w:rFonts w:ascii="Times New Roman" w:hAnsi="Times New Roman"/>
          <w:sz w:val="28"/>
          <w:szCs w:val="28"/>
        </w:rPr>
        <w:t>ч</w:t>
      </w:r>
      <w:proofErr w:type="gramEnd"/>
      <w:r w:rsidRPr="00F20723">
        <w:rPr>
          <w:rFonts w:ascii="Times New Roman" w:hAnsi="Times New Roman"/>
          <w:sz w:val="28"/>
          <w:szCs w:val="28"/>
        </w:rPr>
        <w:t>. 1 ст. 34 Семейного кодекса Российской Федерации</w:t>
      </w:r>
      <w:r w:rsidR="009C110E">
        <w:rPr>
          <w:rFonts w:ascii="Times New Roman" w:hAnsi="Times New Roman"/>
          <w:sz w:val="28"/>
          <w:szCs w:val="28"/>
        </w:rPr>
        <w:t xml:space="preserve"> (далее – СК РФ)</w:t>
      </w:r>
      <w:r w:rsidRPr="00F20723">
        <w:rPr>
          <w:rFonts w:ascii="Times New Roman" w:hAnsi="Times New Roman"/>
          <w:sz w:val="28"/>
          <w:szCs w:val="28"/>
        </w:rPr>
        <w:t xml:space="preserve">). Режим совместной собственности супругов действует, если брачным договором не установлено иное. </w:t>
      </w:r>
    </w:p>
    <w:p w:rsidR="00A06B85" w:rsidRPr="00F20723" w:rsidRDefault="00A06B85" w:rsidP="00F20723">
      <w:pPr>
        <w:autoSpaceDE w:val="0"/>
        <w:autoSpaceDN w:val="0"/>
        <w:adjustRightInd w:val="0"/>
        <w:spacing w:after="0" w:line="240" w:lineRule="auto"/>
        <w:ind w:firstLine="708"/>
        <w:jc w:val="both"/>
        <w:rPr>
          <w:rFonts w:ascii="Times New Roman" w:hAnsi="Times New Roman"/>
          <w:sz w:val="28"/>
          <w:szCs w:val="28"/>
        </w:rPr>
      </w:pPr>
      <w:r w:rsidRPr="00F20723">
        <w:rPr>
          <w:rFonts w:ascii="Times New Roman" w:hAnsi="Times New Roman"/>
          <w:sz w:val="28"/>
          <w:szCs w:val="28"/>
        </w:rPr>
        <w:t>Супруги владеют, пользуются и распоряжаются общим имуществом по обоюдному согласию, и при совершении одним из супругов сделки по распоряжению общим имуществом предполагается, что он действует с согласия другого супруга. Таким образом, закон устанавливает презумпцию взаимного согласия супругов на распоряжение их общим имуществом, то есть предполагается, что супруг, отчуждающий общее имущество, действует с согласия и одобрения другого супруга (</w:t>
      </w:r>
      <w:hyperlink r:id="rId4" w:history="1">
        <w:r w:rsidRPr="00F20723">
          <w:rPr>
            <w:rFonts w:ascii="Times New Roman" w:hAnsi="Times New Roman"/>
            <w:color w:val="0000FF"/>
            <w:sz w:val="28"/>
            <w:szCs w:val="28"/>
          </w:rPr>
          <w:t>п. п. 1</w:t>
        </w:r>
      </w:hyperlink>
      <w:r w:rsidRPr="00F20723">
        <w:rPr>
          <w:rFonts w:ascii="Times New Roman" w:hAnsi="Times New Roman"/>
          <w:sz w:val="28"/>
          <w:szCs w:val="28"/>
        </w:rPr>
        <w:t xml:space="preserve">, </w:t>
      </w:r>
      <w:hyperlink r:id="rId5" w:history="1">
        <w:r w:rsidRPr="00F20723">
          <w:rPr>
            <w:rFonts w:ascii="Times New Roman" w:hAnsi="Times New Roman"/>
            <w:color w:val="0000FF"/>
            <w:sz w:val="28"/>
            <w:szCs w:val="28"/>
          </w:rPr>
          <w:t>2 ст. 35</w:t>
        </w:r>
      </w:hyperlink>
      <w:r w:rsidRPr="00F20723">
        <w:rPr>
          <w:rFonts w:ascii="Times New Roman" w:hAnsi="Times New Roman"/>
          <w:sz w:val="28"/>
          <w:szCs w:val="28"/>
        </w:rPr>
        <w:t xml:space="preserve"> СК РФ)</w:t>
      </w:r>
    </w:p>
    <w:p w:rsidR="00A06B85" w:rsidRPr="00F20723" w:rsidRDefault="00A06B85" w:rsidP="00F20723">
      <w:pPr>
        <w:autoSpaceDE w:val="0"/>
        <w:autoSpaceDN w:val="0"/>
        <w:adjustRightInd w:val="0"/>
        <w:spacing w:after="0" w:line="240" w:lineRule="auto"/>
        <w:ind w:firstLine="708"/>
        <w:jc w:val="both"/>
        <w:rPr>
          <w:rFonts w:ascii="Times New Roman" w:hAnsi="Times New Roman"/>
          <w:sz w:val="28"/>
          <w:szCs w:val="28"/>
        </w:rPr>
      </w:pPr>
      <w:r w:rsidRPr="00F20723">
        <w:rPr>
          <w:rFonts w:ascii="Times New Roman" w:hAnsi="Times New Roman"/>
          <w:sz w:val="28"/>
          <w:szCs w:val="28"/>
        </w:rPr>
        <w:t>По общему правилу совершать сделки с общим имуществом вправе любой из супругов. При этом для совершения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 (</w:t>
      </w:r>
      <w:hyperlink r:id="rId6" w:history="1">
        <w:r w:rsidRPr="00F20723">
          <w:rPr>
            <w:rFonts w:ascii="Times New Roman" w:hAnsi="Times New Roman"/>
            <w:color w:val="0000FF"/>
            <w:sz w:val="28"/>
            <w:szCs w:val="28"/>
          </w:rPr>
          <w:t>п. 1 ст. 253</w:t>
        </w:r>
      </w:hyperlink>
      <w:r w:rsidRPr="00F20723">
        <w:rPr>
          <w:rFonts w:ascii="Times New Roman" w:hAnsi="Times New Roman"/>
          <w:sz w:val="28"/>
          <w:szCs w:val="28"/>
        </w:rPr>
        <w:t xml:space="preserve"> ГК РФ; </w:t>
      </w:r>
      <w:hyperlink r:id="rId7" w:history="1">
        <w:r w:rsidRPr="00F20723">
          <w:rPr>
            <w:rFonts w:ascii="Times New Roman" w:hAnsi="Times New Roman"/>
            <w:color w:val="0000FF"/>
            <w:sz w:val="28"/>
            <w:szCs w:val="28"/>
          </w:rPr>
          <w:t>п. 3 ст. 35</w:t>
        </w:r>
      </w:hyperlink>
      <w:r w:rsidRPr="00F20723">
        <w:rPr>
          <w:rFonts w:ascii="Times New Roman" w:hAnsi="Times New Roman"/>
          <w:sz w:val="28"/>
          <w:szCs w:val="28"/>
        </w:rPr>
        <w:t xml:space="preserve"> СК РФ) </w:t>
      </w:r>
    </w:p>
    <w:p w:rsidR="0098730F" w:rsidRPr="00F20723" w:rsidRDefault="0098730F" w:rsidP="00F20723">
      <w:pPr>
        <w:spacing w:after="0" w:line="240" w:lineRule="auto"/>
        <w:ind w:firstLine="708"/>
        <w:jc w:val="both"/>
        <w:rPr>
          <w:rFonts w:ascii="Times New Roman" w:hAnsi="Times New Roman"/>
          <w:sz w:val="28"/>
          <w:szCs w:val="28"/>
        </w:rPr>
      </w:pPr>
      <w:r w:rsidRPr="00F20723">
        <w:rPr>
          <w:rFonts w:ascii="Times New Roman" w:hAnsi="Times New Roman"/>
          <w:sz w:val="28"/>
          <w:szCs w:val="28"/>
        </w:rPr>
        <w:t xml:space="preserve">До </w:t>
      </w:r>
      <w:r w:rsidR="000205D7" w:rsidRPr="00F20723">
        <w:rPr>
          <w:rFonts w:ascii="Times New Roman" w:hAnsi="Times New Roman"/>
          <w:sz w:val="28"/>
          <w:szCs w:val="28"/>
        </w:rPr>
        <w:t>вступления в силу с 01.01.2017</w:t>
      </w:r>
      <w:r w:rsidRPr="00F20723">
        <w:rPr>
          <w:rFonts w:ascii="Times New Roman" w:hAnsi="Times New Roman"/>
          <w:sz w:val="28"/>
          <w:szCs w:val="28"/>
        </w:rPr>
        <w:t xml:space="preserve"> года </w:t>
      </w:r>
      <w:r w:rsidR="000205D7" w:rsidRPr="00F20723">
        <w:rPr>
          <w:rFonts w:ascii="Times New Roman" w:hAnsi="Times New Roman"/>
          <w:sz w:val="28"/>
          <w:szCs w:val="28"/>
        </w:rPr>
        <w:t>Федерального закона от 13.07.2015 № 218-ФЗ «О государственной регистрации недвижимости»</w:t>
      </w:r>
      <w:r w:rsidR="000C40D5">
        <w:rPr>
          <w:rFonts w:ascii="Times New Roman" w:hAnsi="Times New Roman"/>
          <w:sz w:val="28"/>
          <w:szCs w:val="28"/>
        </w:rPr>
        <w:t xml:space="preserve"> (далее – Закон о регистрации)</w:t>
      </w:r>
      <w:r w:rsidR="000205D7" w:rsidRPr="00F20723">
        <w:rPr>
          <w:rFonts w:ascii="Times New Roman" w:hAnsi="Times New Roman"/>
          <w:sz w:val="28"/>
          <w:szCs w:val="28"/>
        </w:rPr>
        <w:t xml:space="preserve"> для </w:t>
      </w:r>
      <w:r w:rsidRPr="00F20723">
        <w:rPr>
          <w:rFonts w:ascii="Times New Roman" w:hAnsi="Times New Roman"/>
          <w:sz w:val="28"/>
          <w:szCs w:val="28"/>
        </w:rPr>
        <w:t>регистраци</w:t>
      </w:r>
      <w:r w:rsidR="00405227" w:rsidRPr="00F20723">
        <w:rPr>
          <w:rFonts w:ascii="Times New Roman" w:hAnsi="Times New Roman"/>
          <w:sz w:val="28"/>
          <w:szCs w:val="28"/>
        </w:rPr>
        <w:t>и</w:t>
      </w:r>
      <w:r w:rsidRPr="00F20723">
        <w:rPr>
          <w:rFonts w:ascii="Times New Roman" w:hAnsi="Times New Roman"/>
          <w:sz w:val="28"/>
          <w:szCs w:val="28"/>
        </w:rPr>
        <w:t xml:space="preserve"> перехода права собственности к покупателю </w:t>
      </w:r>
      <w:r w:rsidR="000205D7" w:rsidRPr="00F20723">
        <w:rPr>
          <w:rFonts w:ascii="Times New Roman" w:hAnsi="Times New Roman"/>
          <w:sz w:val="28"/>
          <w:szCs w:val="28"/>
        </w:rPr>
        <w:t xml:space="preserve">было необходимо </w:t>
      </w:r>
      <w:r w:rsidR="00405227" w:rsidRPr="00F20723">
        <w:rPr>
          <w:rFonts w:ascii="Times New Roman" w:hAnsi="Times New Roman"/>
          <w:sz w:val="28"/>
          <w:szCs w:val="28"/>
        </w:rPr>
        <w:t xml:space="preserve">представить </w:t>
      </w:r>
      <w:r w:rsidR="000205D7" w:rsidRPr="00F20723">
        <w:rPr>
          <w:rFonts w:ascii="Times New Roman" w:hAnsi="Times New Roman"/>
          <w:sz w:val="28"/>
          <w:szCs w:val="28"/>
        </w:rPr>
        <w:t>нотариальное согласие второго супруга</w:t>
      </w:r>
      <w:r w:rsidR="00405227" w:rsidRPr="00F20723">
        <w:rPr>
          <w:rFonts w:ascii="Times New Roman" w:hAnsi="Times New Roman"/>
          <w:sz w:val="28"/>
          <w:szCs w:val="28"/>
        </w:rPr>
        <w:t xml:space="preserve">. </w:t>
      </w:r>
    </w:p>
    <w:p w:rsidR="0098730F" w:rsidRPr="00F20723" w:rsidRDefault="0098730F" w:rsidP="00F20723">
      <w:pPr>
        <w:spacing w:after="0" w:line="240" w:lineRule="auto"/>
        <w:jc w:val="both"/>
        <w:rPr>
          <w:rFonts w:ascii="Times New Roman" w:hAnsi="Times New Roman"/>
          <w:sz w:val="28"/>
          <w:szCs w:val="28"/>
        </w:rPr>
      </w:pPr>
      <w:r w:rsidRPr="00F20723">
        <w:rPr>
          <w:rFonts w:ascii="Times New Roman" w:hAnsi="Times New Roman"/>
          <w:sz w:val="28"/>
          <w:szCs w:val="28"/>
        </w:rPr>
        <w:t> </w:t>
      </w:r>
      <w:r w:rsidR="00F20723">
        <w:rPr>
          <w:rFonts w:ascii="Times New Roman" w:hAnsi="Times New Roman"/>
          <w:sz w:val="28"/>
          <w:szCs w:val="28"/>
        </w:rPr>
        <w:tab/>
      </w:r>
      <w:r w:rsidR="00405227" w:rsidRPr="00F20723">
        <w:rPr>
          <w:rFonts w:ascii="Times New Roman" w:hAnsi="Times New Roman"/>
          <w:sz w:val="28"/>
          <w:szCs w:val="28"/>
        </w:rPr>
        <w:t>С</w:t>
      </w:r>
      <w:r w:rsidRPr="00F20723">
        <w:rPr>
          <w:rFonts w:ascii="Times New Roman" w:hAnsi="Times New Roman"/>
          <w:sz w:val="28"/>
          <w:szCs w:val="28"/>
        </w:rPr>
        <w:t xml:space="preserve"> 1 января 2017 г</w:t>
      </w:r>
      <w:r w:rsidR="00F20723">
        <w:rPr>
          <w:rFonts w:ascii="Times New Roman" w:hAnsi="Times New Roman"/>
          <w:sz w:val="28"/>
          <w:szCs w:val="28"/>
        </w:rPr>
        <w:t>ода</w:t>
      </w:r>
      <w:r w:rsidRPr="00F20723">
        <w:rPr>
          <w:rFonts w:ascii="Times New Roman" w:hAnsi="Times New Roman"/>
          <w:sz w:val="28"/>
          <w:szCs w:val="28"/>
        </w:rPr>
        <w:t xml:space="preserve"> отсутствие нотариального согласия </w:t>
      </w:r>
      <w:proofErr w:type="gramStart"/>
      <w:r w:rsidRPr="00F20723">
        <w:rPr>
          <w:rFonts w:ascii="Times New Roman" w:hAnsi="Times New Roman"/>
          <w:sz w:val="28"/>
          <w:szCs w:val="28"/>
        </w:rPr>
        <w:t>супруга</w:t>
      </w:r>
      <w:proofErr w:type="gramEnd"/>
      <w:r w:rsidRPr="00F20723">
        <w:rPr>
          <w:rFonts w:ascii="Times New Roman" w:hAnsi="Times New Roman"/>
          <w:sz w:val="28"/>
          <w:szCs w:val="28"/>
        </w:rPr>
        <w:t xml:space="preserve"> на отчуждение совместно нажитого недвижимого имущества другим супругом не приводит к приостановлению регистрации перехода права собственности на недвижимость и не является основанием для отказа в регистрации перехода права.</w:t>
      </w:r>
    </w:p>
    <w:p w:rsidR="0098730F" w:rsidRPr="00F20723" w:rsidRDefault="0098730F" w:rsidP="00F20723">
      <w:pPr>
        <w:spacing w:after="0" w:line="240" w:lineRule="auto"/>
        <w:ind w:firstLine="708"/>
        <w:jc w:val="both"/>
        <w:rPr>
          <w:rFonts w:ascii="Times New Roman" w:hAnsi="Times New Roman"/>
          <w:sz w:val="28"/>
          <w:szCs w:val="28"/>
        </w:rPr>
      </w:pPr>
      <w:r w:rsidRPr="00F20723">
        <w:rPr>
          <w:rFonts w:ascii="Times New Roman" w:hAnsi="Times New Roman"/>
          <w:sz w:val="28"/>
          <w:szCs w:val="28"/>
        </w:rPr>
        <w:t xml:space="preserve">Согласно Закону о регистрации у </w:t>
      </w:r>
      <w:proofErr w:type="spellStart"/>
      <w:r w:rsidRPr="00F20723">
        <w:rPr>
          <w:rFonts w:ascii="Times New Roman" w:hAnsi="Times New Roman"/>
          <w:sz w:val="28"/>
          <w:szCs w:val="28"/>
        </w:rPr>
        <w:t>Росреестра</w:t>
      </w:r>
      <w:proofErr w:type="spellEnd"/>
      <w:r w:rsidRPr="00F20723">
        <w:rPr>
          <w:rFonts w:ascii="Times New Roman" w:hAnsi="Times New Roman"/>
          <w:sz w:val="28"/>
          <w:szCs w:val="28"/>
        </w:rPr>
        <w:t xml:space="preserve"> нет права требовать у продавца предоставления согласия его супруга для проведения гос</w:t>
      </w:r>
      <w:r w:rsidR="00A06B85" w:rsidRPr="00F20723">
        <w:rPr>
          <w:rFonts w:ascii="Times New Roman" w:hAnsi="Times New Roman"/>
          <w:sz w:val="28"/>
          <w:szCs w:val="28"/>
        </w:rPr>
        <w:t xml:space="preserve">ударственной </w:t>
      </w:r>
      <w:r w:rsidRPr="00F20723">
        <w:rPr>
          <w:rFonts w:ascii="Times New Roman" w:hAnsi="Times New Roman"/>
          <w:sz w:val="28"/>
          <w:szCs w:val="28"/>
        </w:rPr>
        <w:t>регистрации перехода права собственности к покупателю, а государственный регистратор не имеет право выяснять причины отсутствии такого согласия.</w:t>
      </w:r>
    </w:p>
    <w:p w:rsidR="00DE3F31" w:rsidRPr="00F20723" w:rsidRDefault="0098730F" w:rsidP="00F20723">
      <w:pPr>
        <w:spacing w:after="0" w:line="240" w:lineRule="auto"/>
        <w:ind w:firstLine="708"/>
        <w:jc w:val="both"/>
        <w:rPr>
          <w:rFonts w:ascii="Times New Roman" w:hAnsi="Times New Roman"/>
          <w:sz w:val="28"/>
          <w:szCs w:val="28"/>
        </w:rPr>
      </w:pPr>
      <w:r w:rsidRPr="00F20723">
        <w:rPr>
          <w:rFonts w:ascii="Times New Roman" w:hAnsi="Times New Roman"/>
          <w:sz w:val="28"/>
          <w:szCs w:val="28"/>
        </w:rPr>
        <w:t>В случае</w:t>
      </w:r>
      <w:proofErr w:type="gramStart"/>
      <w:r w:rsidR="00CF6480">
        <w:rPr>
          <w:rFonts w:ascii="Times New Roman" w:hAnsi="Times New Roman"/>
          <w:sz w:val="28"/>
          <w:szCs w:val="28"/>
        </w:rPr>
        <w:t>,</w:t>
      </w:r>
      <w:proofErr w:type="gramEnd"/>
      <w:r w:rsidRPr="00F20723">
        <w:rPr>
          <w:rFonts w:ascii="Times New Roman" w:hAnsi="Times New Roman"/>
          <w:sz w:val="28"/>
          <w:szCs w:val="28"/>
        </w:rPr>
        <w:t xml:space="preserve"> если согласие</w:t>
      </w:r>
      <w:r w:rsidR="00DE3F31" w:rsidRPr="00F20723">
        <w:rPr>
          <w:rFonts w:ascii="Times New Roman" w:hAnsi="Times New Roman"/>
          <w:sz w:val="28"/>
          <w:szCs w:val="28"/>
        </w:rPr>
        <w:t xml:space="preserve"> супруга</w:t>
      </w:r>
      <w:r w:rsidRPr="00F20723">
        <w:rPr>
          <w:rFonts w:ascii="Times New Roman" w:hAnsi="Times New Roman"/>
          <w:sz w:val="28"/>
          <w:szCs w:val="28"/>
        </w:rPr>
        <w:t xml:space="preserve"> не представлено на государственную регистрацию перехода права, орган регистрации обязан сделать в Едином государственном реестре недвижимости (ЕГРН) отметку об отсутствии необходимого в силу закона согласия третьего лица, которая сохраняет свое действие в течение всего срока актуальности зарегистрированного права собственника и отражается в выписке из ЕГРН. </w:t>
      </w:r>
    </w:p>
    <w:p w:rsidR="00405227" w:rsidRDefault="0098730F" w:rsidP="00F20723">
      <w:pPr>
        <w:spacing w:after="0" w:line="240" w:lineRule="auto"/>
        <w:ind w:firstLine="708"/>
        <w:jc w:val="both"/>
        <w:rPr>
          <w:rFonts w:ascii="Times New Roman" w:hAnsi="Times New Roman"/>
          <w:sz w:val="28"/>
          <w:szCs w:val="28"/>
        </w:rPr>
      </w:pPr>
      <w:r w:rsidRPr="00F20723">
        <w:rPr>
          <w:rFonts w:ascii="Times New Roman" w:hAnsi="Times New Roman"/>
          <w:sz w:val="28"/>
          <w:szCs w:val="28"/>
        </w:rPr>
        <w:t xml:space="preserve">Указанное означает, что орган регистрации прав проведет государственную регистрацию перехода права собственности без согласия супруга, </w:t>
      </w:r>
      <w:r w:rsidR="00DE3F31" w:rsidRPr="00F20723">
        <w:rPr>
          <w:rFonts w:ascii="Times New Roman" w:hAnsi="Times New Roman"/>
          <w:sz w:val="28"/>
          <w:szCs w:val="28"/>
        </w:rPr>
        <w:t>но сделает</w:t>
      </w:r>
      <w:r w:rsidRPr="00F20723">
        <w:rPr>
          <w:rFonts w:ascii="Times New Roman" w:hAnsi="Times New Roman"/>
          <w:sz w:val="28"/>
          <w:szCs w:val="28"/>
        </w:rPr>
        <w:t xml:space="preserve"> отметку в ЕГРН о том, что на государственную регистрацию перехода права </w:t>
      </w:r>
      <w:r w:rsidR="009B066D">
        <w:rPr>
          <w:rFonts w:ascii="Times New Roman" w:hAnsi="Times New Roman"/>
          <w:sz w:val="28"/>
          <w:szCs w:val="28"/>
        </w:rPr>
        <w:t xml:space="preserve">согласие </w:t>
      </w:r>
      <w:r w:rsidRPr="00F20723">
        <w:rPr>
          <w:rFonts w:ascii="Times New Roman" w:hAnsi="Times New Roman"/>
          <w:sz w:val="28"/>
          <w:szCs w:val="28"/>
        </w:rPr>
        <w:t>супруга</w:t>
      </w:r>
      <w:r w:rsidR="00DE3F31" w:rsidRPr="00F20723">
        <w:rPr>
          <w:rFonts w:ascii="Times New Roman" w:hAnsi="Times New Roman"/>
          <w:sz w:val="28"/>
          <w:szCs w:val="28"/>
        </w:rPr>
        <w:t xml:space="preserve"> не представлено</w:t>
      </w:r>
      <w:r w:rsidR="003348F4" w:rsidRPr="00F20723">
        <w:rPr>
          <w:rFonts w:ascii="Times New Roman" w:hAnsi="Times New Roman"/>
          <w:sz w:val="28"/>
          <w:szCs w:val="28"/>
        </w:rPr>
        <w:t xml:space="preserve">, </w:t>
      </w:r>
      <w:r w:rsidR="003348F4" w:rsidRPr="00F20723">
        <w:rPr>
          <w:rFonts w:ascii="Times New Roman" w:hAnsi="Times New Roman"/>
          <w:sz w:val="28"/>
          <w:szCs w:val="28"/>
        </w:rPr>
        <w:lastRenderedPageBreak/>
        <w:t xml:space="preserve">соответственно, указанная отметка </w:t>
      </w:r>
      <w:r w:rsidR="00DE3F31" w:rsidRPr="00F20723">
        <w:rPr>
          <w:rFonts w:ascii="Times New Roman" w:hAnsi="Times New Roman"/>
          <w:sz w:val="28"/>
          <w:szCs w:val="28"/>
        </w:rPr>
        <w:t xml:space="preserve">будет содержаться в документах, </w:t>
      </w:r>
      <w:r w:rsidR="003348F4" w:rsidRPr="00F20723">
        <w:rPr>
          <w:rFonts w:ascii="Times New Roman" w:hAnsi="Times New Roman"/>
          <w:sz w:val="28"/>
          <w:szCs w:val="28"/>
        </w:rPr>
        <w:t>которые Вы получите после проведения регистрации права.</w:t>
      </w:r>
    </w:p>
    <w:p w:rsidR="00683E98" w:rsidRDefault="00683E98" w:rsidP="00F20723">
      <w:pPr>
        <w:spacing w:after="0" w:line="240" w:lineRule="auto"/>
        <w:ind w:firstLine="708"/>
        <w:jc w:val="both"/>
        <w:rPr>
          <w:rFonts w:ascii="Times New Roman" w:hAnsi="Times New Roman"/>
          <w:sz w:val="28"/>
          <w:szCs w:val="28"/>
        </w:rPr>
      </w:pPr>
      <w:r w:rsidRPr="00F20723">
        <w:rPr>
          <w:rFonts w:ascii="Times New Roman" w:hAnsi="Times New Roman"/>
          <w:sz w:val="28"/>
          <w:szCs w:val="28"/>
        </w:rP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A70213" w:rsidRDefault="00A70213" w:rsidP="00A70213">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Таким образом, перед тем как совершать сделку по государственной регистрации перехода права собственности на недвижимое имущество, приобретенное супругами в период барака, необходимо оформить у нотариуса согласие супруга на совершение сделки другим супругом. </w:t>
      </w:r>
    </w:p>
    <w:p w:rsidR="00A70213" w:rsidRPr="00F20723" w:rsidRDefault="00A70213" w:rsidP="00F20723">
      <w:pPr>
        <w:spacing w:after="0" w:line="240" w:lineRule="auto"/>
        <w:ind w:firstLine="708"/>
        <w:jc w:val="both"/>
        <w:rPr>
          <w:rFonts w:ascii="Times New Roman" w:hAnsi="Times New Roman"/>
          <w:sz w:val="28"/>
          <w:szCs w:val="28"/>
        </w:rPr>
      </w:pPr>
    </w:p>
    <w:p w:rsidR="00405227" w:rsidRPr="00F20723" w:rsidRDefault="00405227" w:rsidP="00DF2F8D">
      <w:pPr>
        <w:rPr>
          <w:rFonts w:ascii="Times New Roman" w:hAnsi="Times New Roman"/>
          <w:sz w:val="28"/>
          <w:szCs w:val="28"/>
        </w:rPr>
      </w:pPr>
    </w:p>
    <w:p w:rsidR="003348F4" w:rsidRPr="00F20723" w:rsidRDefault="003348F4" w:rsidP="00DF2F8D">
      <w:pPr>
        <w:rPr>
          <w:rFonts w:ascii="Times New Roman" w:hAnsi="Times New Roman"/>
          <w:sz w:val="28"/>
          <w:szCs w:val="28"/>
        </w:rPr>
      </w:pPr>
    </w:p>
    <w:p w:rsidR="0098730F" w:rsidRDefault="0098730F" w:rsidP="005F261B">
      <w:pPr>
        <w:ind w:firstLine="540"/>
        <w:jc w:val="both"/>
        <w:rPr>
          <w:rFonts w:ascii="Times New Roman" w:hAnsi="Times New Roman"/>
          <w:color w:val="FF0000"/>
          <w:sz w:val="28"/>
          <w:szCs w:val="28"/>
        </w:rPr>
      </w:pPr>
    </w:p>
    <w:p w:rsidR="00F20723" w:rsidRDefault="00F20723" w:rsidP="005F261B">
      <w:pPr>
        <w:ind w:firstLine="540"/>
        <w:jc w:val="both"/>
        <w:rPr>
          <w:rFonts w:ascii="Times New Roman" w:hAnsi="Times New Roman"/>
          <w:color w:val="FF0000"/>
          <w:sz w:val="28"/>
          <w:szCs w:val="28"/>
        </w:rPr>
      </w:pPr>
    </w:p>
    <w:p w:rsidR="00F20723" w:rsidRDefault="00F20723" w:rsidP="005F261B">
      <w:pPr>
        <w:ind w:firstLine="540"/>
        <w:jc w:val="both"/>
        <w:rPr>
          <w:rFonts w:ascii="Times New Roman" w:hAnsi="Times New Roman"/>
          <w:color w:val="FF0000"/>
          <w:sz w:val="28"/>
          <w:szCs w:val="28"/>
        </w:rPr>
      </w:pPr>
    </w:p>
    <w:p w:rsidR="00F20723" w:rsidRDefault="00F20723" w:rsidP="005F261B">
      <w:pPr>
        <w:ind w:firstLine="540"/>
        <w:jc w:val="both"/>
        <w:rPr>
          <w:rFonts w:ascii="Times New Roman" w:hAnsi="Times New Roman"/>
          <w:color w:val="FF0000"/>
          <w:sz w:val="28"/>
          <w:szCs w:val="28"/>
        </w:rPr>
      </w:pPr>
    </w:p>
    <w:p w:rsidR="00F20723" w:rsidRDefault="00F20723" w:rsidP="005F261B">
      <w:pPr>
        <w:ind w:firstLine="540"/>
        <w:jc w:val="both"/>
        <w:rPr>
          <w:rFonts w:ascii="Times New Roman" w:hAnsi="Times New Roman"/>
          <w:color w:val="FF0000"/>
          <w:sz w:val="28"/>
          <w:szCs w:val="28"/>
        </w:rPr>
      </w:pPr>
    </w:p>
    <w:p w:rsidR="00F20723" w:rsidRDefault="00F20723" w:rsidP="005F261B">
      <w:pPr>
        <w:ind w:firstLine="540"/>
        <w:jc w:val="both"/>
        <w:rPr>
          <w:rFonts w:ascii="Times New Roman" w:hAnsi="Times New Roman"/>
          <w:color w:val="FF0000"/>
          <w:sz w:val="28"/>
          <w:szCs w:val="28"/>
        </w:rPr>
      </w:pPr>
    </w:p>
    <w:p w:rsidR="00F20723" w:rsidRDefault="00F20723" w:rsidP="005F261B">
      <w:pPr>
        <w:ind w:firstLine="540"/>
        <w:jc w:val="both"/>
        <w:rPr>
          <w:rFonts w:ascii="Times New Roman" w:hAnsi="Times New Roman"/>
          <w:color w:val="FF0000"/>
          <w:sz w:val="28"/>
          <w:szCs w:val="28"/>
        </w:rPr>
      </w:pPr>
    </w:p>
    <w:p w:rsidR="00F20723" w:rsidRDefault="00F20723" w:rsidP="005F261B">
      <w:pPr>
        <w:ind w:firstLine="540"/>
        <w:jc w:val="both"/>
        <w:rPr>
          <w:rFonts w:ascii="Times New Roman" w:hAnsi="Times New Roman"/>
          <w:color w:val="FF0000"/>
          <w:sz w:val="28"/>
          <w:szCs w:val="28"/>
        </w:rPr>
      </w:pPr>
    </w:p>
    <w:p w:rsidR="00F20723" w:rsidRDefault="00F20723" w:rsidP="005F261B">
      <w:pPr>
        <w:ind w:firstLine="540"/>
        <w:jc w:val="both"/>
        <w:rPr>
          <w:rFonts w:ascii="Times New Roman" w:hAnsi="Times New Roman"/>
          <w:color w:val="FF0000"/>
          <w:sz w:val="28"/>
          <w:szCs w:val="28"/>
        </w:rPr>
      </w:pPr>
    </w:p>
    <w:p w:rsidR="00F20723" w:rsidRDefault="00F20723" w:rsidP="005F261B">
      <w:pPr>
        <w:ind w:firstLine="540"/>
        <w:jc w:val="both"/>
        <w:rPr>
          <w:rFonts w:ascii="Times New Roman" w:hAnsi="Times New Roman"/>
          <w:color w:val="FF0000"/>
          <w:sz w:val="28"/>
          <w:szCs w:val="28"/>
        </w:rPr>
      </w:pPr>
    </w:p>
    <w:p w:rsidR="00F20723" w:rsidRDefault="00F20723" w:rsidP="005F261B">
      <w:pPr>
        <w:ind w:firstLine="540"/>
        <w:jc w:val="both"/>
        <w:rPr>
          <w:rFonts w:ascii="Times New Roman" w:hAnsi="Times New Roman"/>
          <w:color w:val="FF0000"/>
          <w:sz w:val="28"/>
          <w:szCs w:val="28"/>
        </w:rPr>
      </w:pPr>
    </w:p>
    <w:p w:rsidR="00F20723" w:rsidRDefault="00F20723" w:rsidP="005F261B">
      <w:pPr>
        <w:ind w:firstLine="540"/>
        <w:jc w:val="both"/>
        <w:rPr>
          <w:rFonts w:ascii="Times New Roman" w:hAnsi="Times New Roman"/>
          <w:color w:val="FF0000"/>
          <w:sz w:val="28"/>
          <w:szCs w:val="28"/>
        </w:rPr>
      </w:pPr>
    </w:p>
    <w:p w:rsidR="00F20723" w:rsidRDefault="00F20723" w:rsidP="005F261B">
      <w:pPr>
        <w:ind w:firstLine="540"/>
        <w:jc w:val="both"/>
        <w:rPr>
          <w:rFonts w:ascii="Times New Roman" w:hAnsi="Times New Roman"/>
          <w:color w:val="FF0000"/>
          <w:sz w:val="28"/>
          <w:szCs w:val="28"/>
        </w:rPr>
      </w:pPr>
    </w:p>
    <w:p w:rsidR="00F20723" w:rsidRDefault="00F20723" w:rsidP="005F261B">
      <w:pPr>
        <w:ind w:firstLine="540"/>
        <w:jc w:val="both"/>
        <w:rPr>
          <w:rFonts w:ascii="Times New Roman" w:hAnsi="Times New Roman"/>
          <w:color w:val="FF0000"/>
          <w:sz w:val="28"/>
          <w:szCs w:val="28"/>
        </w:rPr>
      </w:pPr>
    </w:p>
    <w:p w:rsidR="00F20723" w:rsidRDefault="00F20723" w:rsidP="005F261B">
      <w:pPr>
        <w:ind w:firstLine="540"/>
        <w:jc w:val="both"/>
        <w:rPr>
          <w:rFonts w:ascii="Times New Roman" w:hAnsi="Times New Roman"/>
          <w:color w:val="FF0000"/>
          <w:sz w:val="28"/>
          <w:szCs w:val="28"/>
        </w:rPr>
      </w:pPr>
    </w:p>
    <w:p w:rsidR="00F20723" w:rsidRDefault="00F20723" w:rsidP="005F261B">
      <w:pPr>
        <w:ind w:firstLine="540"/>
        <w:jc w:val="both"/>
        <w:rPr>
          <w:rFonts w:ascii="Times New Roman" w:hAnsi="Times New Roman"/>
          <w:color w:val="FF0000"/>
          <w:sz w:val="28"/>
          <w:szCs w:val="28"/>
        </w:rPr>
      </w:pPr>
    </w:p>
    <w:p w:rsidR="00F20723" w:rsidRDefault="00F20723" w:rsidP="005F261B">
      <w:pPr>
        <w:ind w:firstLine="540"/>
        <w:jc w:val="both"/>
        <w:rPr>
          <w:rFonts w:ascii="Times New Roman" w:hAnsi="Times New Roman"/>
          <w:color w:val="FF0000"/>
          <w:sz w:val="28"/>
          <w:szCs w:val="28"/>
        </w:rPr>
      </w:pPr>
    </w:p>
    <w:sectPr w:rsidR="00F20723" w:rsidSect="002735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261B"/>
    <w:rsid w:val="000205D7"/>
    <w:rsid w:val="000C40D5"/>
    <w:rsid w:val="002216F6"/>
    <w:rsid w:val="0026798D"/>
    <w:rsid w:val="00273570"/>
    <w:rsid w:val="003348F4"/>
    <w:rsid w:val="00405227"/>
    <w:rsid w:val="00423CD8"/>
    <w:rsid w:val="004E5AF8"/>
    <w:rsid w:val="005F261B"/>
    <w:rsid w:val="00683E98"/>
    <w:rsid w:val="00966D04"/>
    <w:rsid w:val="0098730F"/>
    <w:rsid w:val="009B066D"/>
    <w:rsid w:val="009C110E"/>
    <w:rsid w:val="00A06B85"/>
    <w:rsid w:val="00A11B28"/>
    <w:rsid w:val="00A70213"/>
    <w:rsid w:val="00AB5798"/>
    <w:rsid w:val="00C3044B"/>
    <w:rsid w:val="00CF6480"/>
    <w:rsid w:val="00DE3F31"/>
    <w:rsid w:val="00DF2F8D"/>
    <w:rsid w:val="00F20723"/>
    <w:rsid w:val="00FB2D26"/>
    <w:rsid w:val="00FF6D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57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730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04867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5767465E7669331F41537915DD885FFEECD056D1952198F6BAA580D21B81C9D6452D33736D7E363F487A955F71BF3C2D0F901367EB74E48sDQ8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5767465E7669331F41537915DD885FFEECD036F1657198F6BAA580D21B81C9D6452D33736D6E166F787A955F71BF3C2D0F901367EB74E48sDQ8O" TargetMode="External"/><Relationship Id="rId5" Type="http://schemas.openxmlformats.org/officeDocument/2006/relationships/hyperlink" Target="consultantplus://offline/ref=363AD18E01CFE8D460611676B8C2CE03396769D92D82C767BE0E300339402DDA4EF3471AD335C5ABCAD90D42A56F59AE06DC6FFD41CBAB39C3P4O" TargetMode="External"/><Relationship Id="rId4" Type="http://schemas.openxmlformats.org/officeDocument/2006/relationships/hyperlink" Target="consultantplus://offline/ref=363AD18E01CFE8D460611676B8C2CE03396769D92D82C767BE0E300339402DDA4EF3471AD335C5ABCBD90D42A56F59AE06DC6FFD41CBAB39C3P4O"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4020</CharactersWithSpaces>
  <SharedDoc>false</SharedDoc>
  <HLinks>
    <vt:vector size="24" baseType="variant">
      <vt:variant>
        <vt:i4>7929912</vt:i4>
      </vt:variant>
      <vt:variant>
        <vt:i4>9</vt:i4>
      </vt:variant>
      <vt:variant>
        <vt:i4>0</vt:i4>
      </vt:variant>
      <vt:variant>
        <vt:i4>5</vt:i4>
      </vt:variant>
      <vt:variant>
        <vt:lpwstr>consultantplus://offline/ref=65767465E7669331F41537915DD885FFEECD056D1952198F6BAA580D21B81C9D6452D33736D7E363F487A955F71BF3C2D0F901367EB74E48sDQ8O</vt:lpwstr>
      </vt:variant>
      <vt:variant>
        <vt:lpwstr/>
      </vt:variant>
      <vt:variant>
        <vt:i4>7929907</vt:i4>
      </vt:variant>
      <vt:variant>
        <vt:i4>6</vt:i4>
      </vt:variant>
      <vt:variant>
        <vt:i4>0</vt:i4>
      </vt:variant>
      <vt:variant>
        <vt:i4>5</vt:i4>
      </vt:variant>
      <vt:variant>
        <vt:lpwstr>consultantplus://offline/ref=65767465E7669331F41537915DD885FFEECD036F1657198F6BAA580D21B81C9D6452D33736D6E166F787A955F71BF3C2D0F901367EB74E48sDQ8O</vt:lpwstr>
      </vt:variant>
      <vt:variant>
        <vt:lpwstr/>
      </vt:variant>
      <vt:variant>
        <vt:i4>6881339</vt:i4>
      </vt:variant>
      <vt:variant>
        <vt:i4>3</vt:i4>
      </vt:variant>
      <vt:variant>
        <vt:i4>0</vt:i4>
      </vt:variant>
      <vt:variant>
        <vt:i4>5</vt:i4>
      </vt:variant>
      <vt:variant>
        <vt:lpwstr>consultantplus://offline/ref=363AD18E01CFE8D460611676B8C2CE03396769D92D82C767BE0E300339402DDA4EF3471AD335C5ABCAD90D42A56F59AE06DC6FFD41CBAB39C3P4O</vt:lpwstr>
      </vt:variant>
      <vt:variant>
        <vt:lpwstr/>
      </vt:variant>
      <vt:variant>
        <vt:i4>6881336</vt:i4>
      </vt:variant>
      <vt:variant>
        <vt:i4>0</vt:i4>
      </vt:variant>
      <vt:variant>
        <vt:i4>0</vt:i4>
      </vt:variant>
      <vt:variant>
        <vt:i4>5</vt:i4>
      </vt:variant>
      <vt:variant>
        <vt:lpwstr>consultantplus://offline/ref=363AD18E01CFE8D460611676B8C2CE03396769D92D82C767BE0E300339402DDA4EF3471AD335C5ABCBD90D42A56F59AE06DC6FFD41CBAB39C3P4O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Жукова Ирина Николаевна</dc:creator>
  <cp:lastModifiedBy>Пользователь</cp:lastModifiedBy>
  <cp:revision>2</cp:revision>
  <dcterms:created xsi:type="dcterms:W3CDTF">2021-04-15T11:17:00Z</dcterms:created>
  <dcterms:modified xsi:type="dcterms:W3CDTF">2021-04-15T11:17:00Z</dcterms:modified>
</cp:coreProperties>
</file>