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D" w:rsidRPr="00360B99" w:rsidRDefault="0071422D" w:rsidP="0071422D">
      <w:pPr>
        <w:jc w:val="center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АДМИНИСТРАЦИЯ ВОРОШНЕВСКОГО СЕЛЬСОВЕТА</w:t>
      </w:r>
    </w:p>
    <w:p w:rsidR="0071422D" w:rsidRPr="00360B99" w:rsidRDefault="0071422D" w:rsidP="0071422D">
      <w:pPr>
        <w:jc w:val="center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71422D" w:rsidRPr="00360B99" w:rsidRDefault="0071422D" w:rsidP="0071422D">
      <w:pPr>
        <w:rPr>
          <w:rFonts w:ascii="Arial" w:hAnsi="Arial" w:cs="Arial"/>
          <w:b/>
          <w:sz w:val="24"/>
          <w:szCs w:val="24"/>
        </w:rPr>
      </w:pPr>
    </w:p>
    <w:p w:rsidR="0071422D" w:rsidRPr="00360B99" w:rsidRDefault="0071422D" w:rsidP="0071422D">
      <w:pPr>
        <w:jc w:val="center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ПОСТАНОВЛЕНИЕ</w:t>
      </w:r>
    </w:p>
    <w:p w:rsidR="0071422D" w:rsidRPr="00360B99" w:rsidRDefault="0071422D" w:rsidP="0071422D">
      <w:pPr>
        <w:rPr>
          <w:rFonts w:ascii="Arial" w:hAnsi="Arial" w:cs="Arial"/>
          <w:b/>
          <w:sz w:val="24"/>
          <w:szCs w:val="24"/>
        </w:rPr>
      </w:pPr>
    </w:p>
    <w:p w:rsidR="0071422D" w:rsidRPr="00360B99" w:rsidRDefault="0071422D" w:rsidP="0071422D">
      <w:pPr>
        <w:jc w:val="both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 xml:space="preserve">от  </w:t>
      </w:r>
      <w:r w:rsidR="00D418EC" w:rsidRPr="00360B99">
        <w:rPr>
          <w:rFonts w:ascii="Arial" w:hAnsi="Arial" w:cs="Arial"/>
          <w:b/>
          <w:sz w:val="24"/>
          <w:szCs w:val="24"/>
        </w:rPr>
        <w:t xml:space="preserve">08.06.2018 </w:t>
      </w:r>
      <w:r w:rsidRPr="00360B99">
        <w:rPr>
          <w:rFonts w:ascii="Arial" w:hAnsi="Arial" w:cs="Arial"/>
          <w:b/>
          <w:sz w:val="24"/>
          <w:szCs w:val="24"/>
        </w:rPr>
        <w:t>г.                                                                          №</w:t>
      </w:r>
      <w:r w:rsidR="00D418EC" w:rsidRPr="00360B99">
        <w:rPr>
          <w:rFonts w:ascii="Arial" w:hAnsi="Arial" w:cs="Arial"/>
          <w:b/>
          <w:sz w:val="24"/>
          <w:szCs w:val="24"/>
        </w:rPr>
        <w:t xml:space="preserve"> 43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Об утверждении порядка осуществления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 xml:space="preserve">главными распорядителями средств </w:t>
      </w:r>
      <w:r w:rsidR="00BC492D" w:rsidRPr="00360B99">
        <w:rPr>
          <w:rFonts w:ascii="Arial" w:hAnsi="Arial" w:cs="Arial"/>
          <w:b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b/>
          <w:sz w:val="24"/>
          <w:szCs w:val="24"/>
        </w:rPr>
        <w:t>бюджета,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главными администраторами (администраторами)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 xml:space="preserve">доходов </w:t>
      </w:r>
      <w:r w:rsidR="00BC492D" w:rsidRPr="00360B99">
        <w:rPr>
          <w:rFonts w:ascii="Arial" w:hAnsi="Arial" w:cs="Arial"/>
          <w:b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b/>
          <w:sz w:val="24"/>
          <w:szCs w:val="24"/>
        </w:rPr>
        <w:t>бюджета, главными администраторами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  <w:r w:rsidR="00BC492D" w:rsidRPr="00360B99">
        <w:rPr>
          <w:rFonts w:ascii="Arial" w:hAnsi="Arial" w:cs="Arial"/>
          <w:b/>
          <w:sz w:val="24"/>
          <w:szCs w:val="24"/>
        </w:rPr>
        <w:t xml:space="preserve"> местного</w:t>
      </w:r>
      <w:r w:rsidRPr="00360B99">
        <w:rPr>
          <w:rFonts w:ascii="Arial" w:hAnsi="Arial" w:cs="Arial"/>
          <w:b/>
          <w:sz w:val="24"/>
          <w:szCs w:val="24"/>
        </w:rPr>
        <w:t xml:space="preserve"> бюджета</w:t>
      </w:r>
    </w:p>
    <w:p w:rsidR="0071422D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внутреннего финансового контроля и внутреннего финансового</w:t>
      </w:r>
    </w:p>
    <w:p w:rsidR="0003294C" w:rsidRPr="00360B99" w:rsidRDefault="0071422D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аудита</w:t>
      </w:r>
    </w:p>
    <w:p w:rsidR="00E15F96" w:rsidRPr="00360B99" w:rsidRDefault="00E15F96" w:rsidP="00714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F9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360B99">
          <w:rPr>
            <w:rFonts w:ascii="Arial" w:hAnsi="Arial" w:cs="Arial"/>
            <w:sz w:val="24"/>
            <w:szCs w:val="24"/>
          </w:rPr>
          <w:t>статьей 160.2-1</w:t>
        </w:r>
      </w:hyperlink>
      <w:r w:rsidRPr="00360B99">
        <w:rPr>
          <w:rFonts w:ascii="Arial" w:hAnsi="Arial" w:cs="Arial"/>
          <w:sz w:val="24"/>
          <w:szCs w:val="24"/>
        </w:rPr>
        <w:t xml:space="preserve"> Бюджетного кодекса Российской Федерации,  администрация </w:t>
      </w:r>
      <w:r w:rsidR="00BC492D" w:rsidRPr="00360B99">
        <w:rPr>
          <w:rFonts w:ascii="Arial" w:hAnsi="Arial" w:cs="Arial"/>
          <w:sz w:val="24"/>
          <w:szCs w:val="24"/>
        </w:rPr>
        <w:t xml:space="preserve">Ворошневского сельсовета Курского района Курской области </w:t>
      </w:r>
    </w:p>
    <w:p w:rsidR="00BC492D" w:rsidRPr="00360B99" w:rsidRDefault="00BC49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492D" w:rsidRPr="00360B99" w:rsidRDefault="00BC492D" w:rsidP="00BC21B5">
      <w:pPr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b/>
          <w:sz w:val="24"/>
          <w:szCs w:val="24"/>
        </w:rPr>
        <w:t>ПОСТАНОВЛЯЕТ:</w:t>
      </w:r>
    </w:p>
    <w:p w:rsidR="002D6266" w:rsidRPr="00360B99" w:rsidRDefault="002D6266" w:rsidP="00BC49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360B99">
          <w:rPr>
            <w:rFonts w:ascii="Arial" w:hAnsi="Arial" w:cs="Arial"/>
            <w:sz w:val="24"/>
            <w:szCs w:val="24"/>
          </w:rPr>
          <w:t>Порядок</w:t>
        </w:r>
      </w:hyperlink>
      <w:r w:rsidRPr="00360B99">
        <w:rPr>
          <w:rFonts w:ascii="Arial" w:hAnsi="Arial" w:cs="Arial"/>
          <w:sz w:val="24"/>
          <w:szCs w:val="24"/>
        </w:rPr>
        <w:t xml:space="preserve"> осуществления главными распорядителями средств бюджета </w:t>
      </w:r>
      <w:r w:rsidR="00BC492D" w:rsidRPr="00360B99">
        <w:rPr>
          <w:rFonts w:ascii="Arial" w:hAnsi="Arial" w:cs="Arial"/>
          <w:sz w:val="24"/>
          <w:szCs w:val="24"/>
        </w:rPr>
        <w:t>администрации Ворошневского сельсовета Курского района Курской области</w:t>
      </w:r>
      <w:r w:rsidRPr="00360B99">
        <w:rPr>
          <w:rFonts w:ascii="Arial" w:hAnsi="Arial" w:cs="Arial"/>
          <w:sz w:val="24"/>
          <w:szCs w:val="24"/>
        </w:rPr>
        <w:t xml:space="preserve">, главными администраторами (администраторами) доходов бюджета </w:t>
      </w:r>
      <w:r w:rsidR="00BC492D" w:rsidRPr="00360B99">
        <w:rPr>
          <w:rFonts w:ascii="Arial" w:hAnsi="Arial" w:cs="Arial"/>
          <w:sz w:val="24"/>
          <w:szCs w:val="24"/>
        </w:rPr>
        <w:t>администрации Ворошневского сельсовета Курского района Курской области</w:t>
      </w:r>
      <w:r w:rsidRPr="00360B99">
        <w:rPr>
          <w:rFonts w:ascii="Arial" w:hAnsi="Arial" w:cs="Arial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BC492D" w:rsidRPr="00360B99">
        <w:rPr>
          <w:rFonts w:ascii="Arial" w:hAnsi="Arial" w:cs="Arial"/>
          <w:sz w:val="24"/>
          <w:szCs w:val="24"/>
        </w:rPr>
        <w:t>администрации</w:t>
      </w:r>
      <w:r w:rsidR="004B2BCD" w:rsidRPr="00360B99">
        <w:rPr>
          <w:rFonts w:ascii="Arial" w:hAnsi="Arial" w:cs="Arial"/>
          <w:sz w:val="24"/>
          <w:szCs w:val="24"/>
        </w:rPr>
        <w:t xml:space="preserve"> </w:t>
      </w:r>
      <w:r w:rsidR="00BC492D" w:rsidRPr="00360B99">
        <w:rPr>
          <w:rFonts w:ascii="Arial" w:hAnsi="Arial" w:cs="Arial"/>
          <w:sz w:val="24"/>
          <w:szCs w:val="24"/>
        </w:rPr>
        <w:t>Ворошневского сельсовета Курского района Курской области</w:t>
      </w:r>
      <w:r w:rsidRPr="00360B99">
        <w:rPr>
          <w:rFonts w:ascii="Arial" w:hAnsi="Arial" w:cs="Arial"/>
          <w:sz w:val="24"/>
          <w:szCs w:val="24"/>
        </w:rPr>
        <w:t xml:space="preserve"> внутреннего финансового контроля и внутреннего финансового аудита согласно приложени</w:t>
      </w:r>
      <w:r w:rsidR="005B22A4" w:rsidRPr="00360B99">
        <w:rPr>
          <w:rFonts w:ascii="Arial" w:hAnsi="Arial" w:cs="Arial"/>
          <w:sz w:val="24"/>
          <w:szCs w:val="24"/>
        </w:rPr>
        <w:t>ям</w:t>
      </w:r>
      <w:r w:rsidRPr="00360B99">
        <w:rPr>
          <w:rFonts w:ascii="Arial" w:hAnsi="Arial" w:cs="Arial"/>
          <w:sz w:val="24"/>
          <w:szCs w:val="24"/>
        </w:rPr>
        <w:t>.</w:t>
      </w:r>
    </w:p>
    <w:p w:rsidR="002D6266" w:rsidRPr="00360B99" w:rsidRDefault="00BC492D" w:rsidP="00E15F96">
      <w:pPr>
        <w:pStyle w:val="ConsPlusNormal"/>
        <w:tabs>
          <w:tab w:val="left" w:pos="426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</w:t>
      </w:r>
      <w:r w:rsidR="0003294C" w:rsidRPr="00360B99">
        <w:rPr>
          <w:rFonts w:ascii="Arial" w:hAnsi="Arial" w:cs="Arial"/>
          <w:sz w:val="24"/>
          <w:szCs w:val="24"/>
        </w:rPr>
        <w:t>.</w:t>
      </w:r>
      <w:r w:rsidR="00E15F96" w:rsidRPr="00360B99">
        <w:rPr>
          <w:rFonts w:ascii="Arial" w:hAnsi="Arial" w:cs="Arial"/>
          <w:sz w:val="24"/>
          <w:szCs w:val="24"/>
        </w:rPr>
        <w:t>С</w:t>
      </w:r>
      <w:r w:rsidR="002D6266" w:rsidRPr="00360B99">
        <w:rPr>
          <w:rFonts w:ascii="Arial" w:hAnsi="Arial" w:cs="Arial"/>
          <w:sz w:val="24"/>
          <w:szCs w:val="24"/>
        </w:rPr>
        <w:t xml:space="preserve">читать утратившим силу </w:t>
      </w:r>
      <w:hyperlink r:id="rId8" w:history="1">
        <w:r w:rsidR="002D6266" w:rsidRPr="00360B99">
          <w:rPr>
            <w:rFonts w:ascii="Arial" w:hAnsi="Arial" w:cs="Arial"/>
            <w:sz w:val="24"/>
            <w:szCs w:val="24"/>
          </w:rPr>
          <w:t>постановление</w:t>
        </w:r>
      </w:hyperlink>
      <w:r w:rsidR="002D6266" w:rsidRPr="00360B99">
        <w:rPr>
          <w:rFonts w:ascii="Arial" w:hAnsi="Arial" w:cs="Arial"/>
          <w:sz w:val="24"/>
          <w:szCs w:val="24"/>
        </w:rPr>
        <w:t xml:space="preserve"> администрации </w:t>
      </w:r>
      <w:r w:rsidRPr="00360B99">
        <w:rPr>
          <w:rFonts w:ascii="Arial" w:hAnsi="Arial" w:cs="Arial"/>
          <w:sz w:val="24"/>
          <w:szCs w:val="24"/>
        </w:rPr>
        <w:t>Ворошневского сельсовета Курского района Курской области</w:t>
      </w:r>
      <w:r w:rsidR="002D6266" w:rsidRPr="00360B99">
        <w:rPr>
          <w:rFonts w:ascii="Arial" w:hAnsi="Arial" w:cs="Arial"/>
          <w:sz w:val="24"/>
          <w:szCs w:val="24"/>
        </w:rPr>
        <w:t xml:space="preserve"> от 2</w:t>
      </w:r>
      <w:r w:rsidRPr="00360B99">
        <w:rPr>
          <w:rFonts w:ascii="Arial" w:hAnsi="Arial" w:cs="Arial"/>
          <w:sz w:val="24"/>
          <w:szCs w:val="24"/>
        </w:rPr>
        <w:t>1</w:t>
      </w:r>
      <w:r w:rsidR="002D6266" w:rsidRPr="00360B99">
        <w:rPr>
          <w:rFonts w:ascii="Arial" w:hAnsi="Arial" w:cs="Arial"/>
          <w:sz w:val="24"/>
          <w:szCs w:val="24"/>
        </w:rPr>
        <w:t>.0</w:t>
      </w:r>
      <w:r w:rsidRPr="00360B99">
        <w:rPr>
          <w:rFonts w:ascii="Arial" w:hAnsi="Arial" w:cs="Arial"/>
          <w:sz w:val="24"/>
          <w:szCs w:val="24"/>
        </w:rPr>
        <w:t>3</w:t>
      </w:r>
      <w:r w:rsidR="002D6266" w:rsidRPr="00360B99">
        <w:rPr>
          <w:rFonts w:ascii="Arial" w:hAnsi="Arial" w:cs="Arial"/>
          <w:sz w:val="24"/>
          <w:szCs w:val="24"/>
        </w:rPr>
        <w:t xml:space="preserve">.2014 N </w:t>
      </w:r>
      <w:r w:rsidRPr="00360B99">
        <w:rPr>
          <w:rFonts w:ascii="Arial" w:hAnsi="Arial" w:cs="Arial"/>
          <w:sz w:val="24"/>
          <w:szCs w:val="24"/>
        </w:rPr>
        <w:t>24</w:t>
      </w:r>
      <w:r w:rsidR="002D6266" w:rsidRPr="00360B99">
        <w:rPr>
          <w:rFonts w:ascii="Arial" w:hAnsi="Arial" w:cs="Arial"/>
          <w:sz w:val="24"/>
          <w:szCs w:val="24"/>
        </w:rPr>
        <w:t xml:space="preserve"> "Об утверждении Порядка осуществления главными распорядителями средств </w:t>
      </w:r>
      <w:r w:rsidRPr="00360B99">
        <w:rPr>
          <w:rFonts w:ascii="Arial" w:hAnsi="Arial" w:cs="Arial"/>
          <w:sz w:val="24"/>
          <w:szCs w:val="24"/>
        </w:rPr>
        <w:t xml:space="preserve">местного </w:t>
      </w:r>
      <w:r w:rsidR="002D6266" w:rsidRPr="00360B99">
        <w:rPr>
          <w:rFonts w:ascii="Arial" w:hAnsi="Arial" w:cs="Arial"/>
          <w:sz w:val="24"/>
          <w:szCs w:val="24"/>
        </w:rPr>
        <w:t>бюджета</w:t>
      </w:r>
      <w:r w:rsidRPr="00360B99">
        <w:rPr>
          <w:rFonts w:ascii="Arial" w:hAnsi="Arial" w:cs="Arial"/>
          <w:sz w:val="24"/>
          <w:szCs w:val="24"/>
        </w:rPr>
        <w:t xml:space="preserve">, </w:t>
      </w:r>
      <w:r w:rsidR="002D6266" w:rsidRPr="00360B99">
        <w:rPr>
          <w:rFonts w:ascii="Arial" w:hAnsi="Arial" w:cs="Arial"/>
          <w:sz w:val="24"/>
          <w:szCs w:val="24"/>
        </w:rPr>
        <w:t xml:space="preserve">главными администраторами (администраторами) доходов </w:t>
      </w:r>
      <w:r w:rsidRPr="00360B99">
        <w:rPr>
          <w:rFonts w:ascii="Arial" w:hAnsi="Arial" w:cs="Arial"/>
          <w:sz w:val="24"/>
          <w:szCs w:val="24"/>
        </w:rPr>
        <w:t xml:space="preserve">местного </w:t>
      </w:r>
      <w:r w:rsidR="002D6266" w:rsidRPr="00360B99">
        <w:rPr>
          <w:rFonts w:ascii="Arial" w:hAnsi="Arial" w:cs="Arial"/>
          <w:sz w:val="24"/>
          <w:szCs w:val="24"/>
        </w:rPr>
        <w:t xml:space="preserve">бюджета, главными администраторами источников финансирования дефицита </w:t>
      </w:r>
      <w:r w:rsidRPr="00360B99">
        <w:rPr>
          <w:rFonts w:ascii="Arial" w:hAnsi="Arial" w:cs="Arial"/>
          <w:sz w:val="24"/>
          <w:szCs w:val="24"/>
        </w:rPr>
        <w:t xml:space="preserve">местного </w:t>
      </w:r>
      <w:r w:rsidR="002D6266" w:rsidRPr="00360B99">
        <w:rPr>
          <w:rFonts w:ascii="Arial" w:hAnsi="Arial" w:cs="Arial"/>
          <w:sz w:val="24"/>
          <w:szCs w:val="24"/>
        </w:rPr>
        <w:t>бюджета внутреннего финансового контроля и внутреннего финансового аудита".</w:t>
      </w:r>
    </w:p>
    <w:p w:rsidR="00A60C63" w:rsidRPr="00360B99" w:rsidRDefault="00A60C63" w:rsidP="0003294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360B99">
        <w:rPr>
          <w:rFonts w:ascii="Arial" w:hAnsi="Arial" w:cs="Arial"/>
          <w:spacing w:val="2"/>
          <w:sz w:val="24"/>
          <w:szCs w:val="24"/>
        </w:rPr>
        <w:t>3</w:t>
      </w:r>
      <w:r w:rsidRPr="00360B99">
        <w:rPr>
          <w:rFonts w:ascii="Arial" w:eastAsia="Times New Roman" w:hAnsi="Arial" w:cs="Arial"/>
          <w:spacing w:val="2"/>
          <w:sz w:val="24"/>
          <w:szCs w:val="24"/>
        </w:rPr>
        <w:t xml:space="preserve">.Определить </w:t>
      </w:r>
      <w:r w:rsidR="00E15F96" w:rsidRPr="00360B99">
        <w:rPr>
          <w:rFonts w:ascii="Arial" w:eastAsia="Times New Roman" w:hAnsi="Arial" w:cs="Arial"/>
          <w:spacing w:val="2"/>
          <w:sz w:val="24"/>
          <w:szCs w:val="24"/>
        </w:rPr>
        <w:t>главу администрации Ворошневского сельсовета</w:t>
      </w:r>
      <w:r w:rsidRPr="00360B99">
        <w:rPr>
          <w:rFonts w:ascii="Arial" w:eastAsia="Times New Roman" w:hAnsi="Arial" w:cs="Arial"/>
          <w:spacing w:val="2"/>
          <w:sz w:val="24"/>
          <w:szCs w:val="24"/>
        </w:rPr>
        <w:t xml:space="preserve"> за осуществление </w:t>
      </w:r>
      <w:r w:rsidR="0003294C" w:rsidRPr="00360B99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03294C" w:rsidRPr="00360B99">
        <w:rPr>
          <w:rFonts w:ascii="Arial" w:hAnsi="Arial" w:cs="Arial"/>
          <w:sz w:val="24"/>
          <w:szCs w:val="24"/>
        </w:rPr>
        <w:t xml:space="preserve">нутреннего финансового контроля и внутреннего финансового аудита </w:t>
      </w:r>
      <w:r w:rsidRPr="00360B99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="0003294C" w:rsidRPr="00360B99">
        <w:rPr>
          <w:rFonts w:ascii="Arial" w:eastAsia="Times New Roman" w:hAnsi="Arial" w:cs="Arial"/>
          <w:spacing w:val="2"/>
          <w:sz w:val="24"/>
          <w:szCs w:val="24"/>
        </w:rPr>
        <w:t>Ворошневского сельсовета.</w:t>
      </w:r>
    </w:p>
    <w:p w:rsidR="002D6266" w:rsidRPr="00360B99" w:rsidRDefault="00D418EC" w:rsidP="00D418E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4</w:t>
      </w:r>
      <w:r w:rsidR="002D6266" w:rsidRPr="00360B9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D6266" w:rsidRPr="00360B99" w:rsidRDefault="00D418EC" w:rsidP="00D418E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5</w:t>
      </w:r>
      <w:r w:rsidR="002D6266" w:rsidRPr="00360B99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BC492D" w:rsidRPr="00360B99">
        <w:rPr>
          <w:rFonts w:ascii="Arial" w:hAnsi="Arial" w:cs="Arial"/>
          <w:sz w:val="24"/>
          <w:szCs w:val="24"/>
        </w:rPr>
        <w:t>подписания.</w:t>
      </w:r>
    </w:p>
    <w:p w:rsidR="00BC492D" w:rsidRPr="00360B99" w:rsidRDefault="00BC492D" w:rsidP="00BC49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492D" w:rsidRPr="00360B99" w:rsidRDefault="00BC492D" w:rsidP="00BC49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0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ГлаваВорошневского сельсовета                                       Н.С.Тарасов</w:t>
      </w:r>
      <w:bookmarkStart w:id="0" w:name="Par30"/>
      <w:bookmarkStart w:id="1" w:name="Par29"/>
      <w:bookmarkEnd w:id="0"/>
      <w:bookmarkEnd w:id="1"/>
    </w:p>
    <w:p w:rsidR="00BC492D" w:rsidRPr="00360B99" w:rsidRDefault="00BC492D" w:rsidP="00BC492D">
      <w:pPr>
        <w:pStyle w:val="ConsPlusNormal"/>
        <w:ind w:firstLine="42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Приложение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 постановлению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администрации </w:t>
      </w:r>
      <w:r w:rsidR="00BC492D" w:rsidRPr="00360B99">
        <w:rPr>
          <w:rFonts w:ascii="Arial" w:hAnsi="Arial" w:cs="Arial"/>
          <w:sz w:val="24"/>
          <w:szCs w:val="24"/>
        </w:rPr>
        <w:t>Ворошневского сельсовета</w:t>
      </w:r>
    </w:p>
    <w:p w:rsidR="00BC492D" w:rsidRPr="00360B99" w:rsidRDefault="00BC49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2D6266" w:rsidRPr="00360B99" w:rsidRDefault="002D6266" w:rsidP="00D418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от </w:t>
      </w:r>
      <w:r w:rsidR="00D418EC" w:rsidRPr="00360B99">
        <w:rPr>
          <w:rFonts w:ascii="Arial" w:hAnsi="Arial" w:cs="Arial"/>
          <w:sz w:val="24"/>
          <w:szCs w:val="24"/>
        </w:rPr>
        <w:t>08.06.2018</w:t>
      </w:r>
      <w:r w:rsidRPr="00360B99">
        <w:rPr>
          <w:rFonts w:ascii="Arial" w:hAnsi="Arial" w:cs="Arial"/>
          <w:sz w:val="24"/>
          <w:szCs w:val="24"/>
        </w:rPr>
        <w:t xml:space="preserve"> г. N </w:t>
      </w:r>
      <w:r w:rsidR="00D418EC" w:rsidRPr="00360B99">
        <w:rPr>
          <w:rFonts w:ascii="Arial" w:hAnsi="Arial" w:cs="Arial"/>
          <w:sz w:val="24"/>
          <w:szCs w:val="24"/>
        </w:rPr>
        <w:t>43</w:t>
      </w:r>
    </w:p>
    <w:p w:rsidR="00D418EC" w:rsidRPr="00360B99" w:rsidRDefault="00D418EC" w:rsidP="00D418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37"/>
      <w:bookmarkEnd w:id="2"/>
      <w:r w:rsidRPr="00360B99">
        <w:rPr>
          <w:rFonts w:ascii="Arial" w:hAnsi="Arial" w:cs="Arial"/>
          <w:sz w:val="24"/>
          <w:szCs w:val="24"/>
        </w:rPr>
        <w:t>ПОРЯДОК</w:t>
      </w:r>
    </w:p>
    <w:p w:rsidR="002D6266" w:rsidRPr="00360B99" w:rsidRDefault="002D62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ОСУЩЕСТВЛЕНИЯ ГЛАВНЫМИ РАСПОРЯДИТЕЛЯМИ СРЕДСТВ </w:t>
      </w:r>
      <w:r w:rsidR="00BC492D" w:rsidRPr="00360B99">
        <w:rPr>
          <w:rFonts w:ascii="Arial" w:hAnsi="Arial" w:cs="Arial"/>
          <w:sz w:val="24"/>
          <w:szCs w:val="24"/>
        </w:rPr>
        <w:t xml:space="preserve"> МЕСТНОГО </w:t>
      </w:r>
      <w:r w:rsidRPr="00360B99">
        <w:rPr>
          <w:rFonts w:ascii="Arial" w:hAnsi="Arial" w:cs="Arial"/>
          <w:sz w:val="24"/>
          <w:szCs w:val="24"/>
        </w:rPr>
        <w:lastRenderedPageBreak/>
        <w:t>БЮДЖЕТА, ГЛАВНЫМИ АДМИНИСТРАТОРАМИ</w:t>
      </w:r>
    </w:p>
    <w:p w:rsidR="002D6266" w:rsidRPr="00360B99" w:rsidRDefault="002D62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(АДМИНИСТРАТОРАМИ) ДОХОДОВ </w:t>
      </w:r>
      <w:r w:rsidR="00BC492D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</w:t>
      </w:r>
    </w:p>
    <w:p w:rsidR="002D6266" w:rsidRPr="00360B99" w:rsidRDefault="002D62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ГЛАВНЫМИ АДМИНИСТРАТОРАМИ ИСТОЧНИКОВ ФИНАНСИРОВАНИЯ ДЕФИЦИТА</w:t>
      </w:r>
    </w:p>
    <w:p w:rsidR="002D6266" w:rsidRPr="00360B99" w:rsidRDefault="00BC49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МЕСТНОГО </w:t>
      </w:r>
      <w:r w:rsidR="002D6266" w:rsidRPr="00360B99">
        <w:rPr>
          <w:rFonts w:ascii="Arial" w:hAnsi="Arial" w:cs="Arial"/>
          <w:sz w:val="24"/>
          <w:szCs w:val="24"/>
        </w:rPr>
        <w:t>БЮДЖЕТА ВНУТРЕННЕГО ФИНАНСОВОГО</w:t>
      </w:r>
    </w:p>
    <w:p w:rsidR="002D6266" w:rsidRPr="00360B99" w:rsidRDefault="002D62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КОНТРОЛЯ И ВНУТРЕННЕГО ФИНАНСОВОГО АУДИТА</w:t>
      </w:r>
    </w:p>
    <w:p w:rsidR="002D6266" w:rsidRPr="00360B99" w:rsidRDefault="002D6266">
      <w:pPr>
        <w:spacing w:after="1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1. Общие положения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1.1. Настоящий Порядок определяет правила осуществления главными распорядителями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главными администраторами (администраторами) доходов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главными администраторами источников финансирования дефицита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(далее - главные администраторы (администраторы) средств</w:t>
      </w:r>
      <w:r w:rsidR="002A5B25" w:rsidRPr="00360B99">
        <w:rPr>
          <w:rFonts w:ascii="Arial" w:hAnsi="Arial" w:cs="Arial"/>
          <w:sz w:val="24"/>
          <w:szCs w:val="24"/>
        </w:rPr>
        <w:t xml:space="preserve"> местного</w:t>
      </w:r>
      <w:r w:rsidRPr="00360B99">
        <w:rPr>
          <w:rFonts w:ascii="Arial" w:hAnsi="Arial" w:cs="Arial"/>
          <w:sz w:val="24"/>
          <w:szCs w:val="24"/>
        </w:rPr>
        <w:t xml:space="preserve"> бюджета) внутреннего финансового контроля и внутреннего финансового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 Осуществление внутреннего финансового контроля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2.1. Внутренний финансовый контроль осуществляется руководителями, заместителями руководителей, иными должностными лицами главного администратора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</w:t>
      </w:r>
      <w:r w:rsidR="002A5B25" w:rsidRPr="00360B99">
        <w:rPr>
          <w:rFonts w:ascii="Arial" w:hAnsi="Arial" w:cs="Arial"/>
          <w:sz w:val="24"/>
          <w:szCs w:val="24"/>
        </w:rPr>
        <w:t>администрации Ворошневского сельсовета</w:t>
      </w:r>
      <w:r w:rsidRPr="00360B99">
        <w:rPr>
          <w:rFonts w:ascii="Arial" w:hAnsi="Arial" w:cs="Arial"/>
          <w:sz w:val="24"/>
          <w:szCs w:val="24"/>
        </w:rPr>
        <w:t xml:space="preserve">, организующими и выполняющими внутренние процедуры составления и исполнения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ведения бюджетного учета и составления бюджетной отчетности (далее - бюджетные процедуры). Внутренний финансовый контроль направлен: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этим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б) на подготовку и организацию мер по повышению экономности и результативности использования средств бюджета </w:t>
      </w:r>
      <w:r w:rsidR="002A5B25" w:rsidRPr="00360B99">
        <w:rPr>
          <w:rFonts w:ascii="Arial" w:hAnsi="Arial" w:cs="Arial"/>
          <w:sz w:val="24"/>
          <w:szCs w:val="24"/>
        </w:rPr>
        <w:t>администрации Ворошневского сельсовета Курского района</w:t>
      </w:r>
      <w:r w:rsidRPr="00360B99">
        <w:rPr>
          <w:rFonts w:ascii="Arial" w:hAnsi="Arial" w:cs="Arial"/>
          <w:sz w:val="24"/>
          <w:szCs w:val="24"/>
        </w:rPr>
        <w:t>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2.2. Внутренний финансовый контроль осуществляется в структурных подразделениях главного администратора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администратора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и получателя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исполняющих бюджетные полномочия.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2.3. Должностные лица подразделений главного администратора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а) составление и представление документов в </w:t>
      </w:r>
      <w:r w:rsidR="002A5B25" w:rsidRPr="00360B99">
        <w:rPr>
          <w:rFonts w:ascii="Arial" w:hAnsi="Arial" w:cs="Arial"/>
          <w:sz w:val="24"/>
          <w:szCs w:val="24"/>
        </w:rPr>
        <w:t>администрацию Ворошневского сельсовета Курского района</w:t>
      </w:r>
      <w:r w:rsidRPr="00360B99">
        <w:rPr>
          <w:rFonts w:ascii="Arial" w:hAnsi="Arial" w:cs="Arial"/>
          <w:sz w:val="24"/>
          <w:szCs w:val="24"/>
        </w:rPr>
        <w:t xml:space="preserve">, необходимых для составления и рассмотрения проекта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в том числе реестров расходных обязательств и обоснований бюджетных ассигнований;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 xml:space="preserve">б) составление и представление документов главному администратору средств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необходимых для составления и рассмотрения проекта </w:t>
      </w:r>
      <w:r w:rsidR="002A5B25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в) составление, утверждение и ведение бюджетной росписи главного распорядителя (распорядителя) средств </w:t>
      </w:r>
      <w:r w:rsidR="00C42880" w:rsidRPr="00360B99">
        <w:rPr>
          <w:rFonts w:ascii="Arial" w:hAnsi="Arial" w:cs="Arial"/>
          <w:sz w:val="24"/>
          <w:szCs w:val="24"/>
        </w:rPr>
        <w:t xml:space="preserve"> местного </w:t>
      </w:r>
      <w:r w:rsidRPr="00360B99">
        <w:rPr>
          <w:rFonts w:ascii="Arial" w:hAnsi="Arial" w:cs="Arial"/>
          <w:sz w:val="24"/>
          <w:szCs w:val="24"/>
        </w:rPr>
        <w:t>бюджета;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г) составление документов для формирования и ведения сводной бюджетной росписи </w:t>
      </w:r>
      <w:r w:rsidR="00C4288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а также для доведения (распределения) бюджетных ассигнований и лимитов бюджетных обязательств до главных распорядителей средств </w:t>
      </w:r>
      <w:r w:rsidR="00C42880" w:rsidRPr="00360B99">
        <w:rPr>
          <w:rFonts w:ascii="Arial" w:hAnsi="Arial" w:cs="Arial"/>
          <w:sz w:val="24"/>
          <w:szCs w:val="24"/>
        </w:rPr>
        <w:t>местного</w:t>
      </w:r>
      <w:r w:rsidRPr="00360B99">
        <w:rPr>
          <w:rFonts w:ascii="Arial" w:hAnsi="Arial" w:cs="Arial"/>
          <w:sz w:val="24"/>
          <w:szCs w:val="24"/>
        </w:rPr>
        <w:t>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составление, утверждение и ведение бюджетных смет и (или) составление (утверждение) свода бюджетных смет;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формирование и утверждение муниципальных заданий в отношении подведомственных муниципальных учреждений;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ж) составление и исполнение бюджетной сметы;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з) принятие в пределах доведенных лимитов бюджетных обязательств и (или) бюджетных ассигнований бюджетных обязательств;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и) принятие решений о возврате излишне уплаченных (взысканных) платежей в </w:t>
      </w:r>
      <w:r w:rsidR="00C42880" w:rsidRPr="00360B99">
        <w:rPr>
          <w:rFonts w:ascii="Arial" w:hAnsi="Arial" w:cs="Arial"/>
          <w:sz w:val="24"/>
          <w:szCs w:val="24"/>
        </w:rPr>
        <w:t>местный бюджет</w:t>
      </w:r>
      <w:r w:rsidRPr="00360B99">
        <w:rPr>
          <w:rFonts w:ascii="Arial" w:hAnsi="Arial" w:cs="Arial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л) составление и представление бюджетной отчетности и сводной бюджетной отчетности;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м)распределение лимитов бюджетных обязательств по подведомственным распорядителям и получателям бюджетных средств;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2D6266" w:rsidRPr="00360B99" w:rsidRDefault="002D6266" w:rsidP="00CB4F9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о)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</w:t>
      </w:r>
      <w:r w:rsidR="00CB4F9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ассигнований, предназначенных для погашения источников финансирования дефицита </w:t>
      </w:r>
      <w:r w:rsidR="00CB4F9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действий, направленных на обеспечение адресности и целевого характера использования указанных ассигнований.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360B99">
        <w:rPr>
          <w:rFonts w:ascii="Arial" w:hAnsi="Arial" w:cs="Arial"/>
          <w:sz w:val="24"/>
          <w:szCs w:val="24"/>
        </w:rPr>
        <w:t xml:space="preserve">2.3. При осуществлении внутреннего финансового контроля производятся </w:t>
      </w:r>
      <w:r w:rsidRPr="00360B99">
        <w:rPr>
          <w:rFonts w:ascii="Arial" w:hAnsi="Arial" w:cs="Arial"/>
          <w:sz w:val="24"/>
          <w:szCs w:val="24"/>
        </w:rPr>
        <w:lastRenderedPageBreak/>
        <w:t>следующие контрольные действия: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проверка оформления документов на соответствие требованиям нормативных правовых актов, регулирующих бюджетные правоотношения, и внутренних стандартов и процедур;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сверка данных;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сбор (запрос), анализ и оценка (мониторинг) информации о результатах выполнения внутренних бюджетных процедур.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2.4. Формами проведения внутреннего финансового контроля являются контрольные действия, указанные в </w:t>
      </w:r>
      <w:hyperlink w:anchor="P76" w:history="1">
        <w:r w:rsidRPr="00360B99">
          <w:rPr>
            <w:rFonts w:ascii="Arial" w:hAnsi="Arial" w:cs="Arial"/>
            <w:sz w:val="24"/>
            <w:szCs w:val="24"/>
          </w:rPr>
          <w:t>пункте 2.3</w:t>
        </w:r>
      </w:hyperlink>
      <w:r w:rsidRPr="00360B99">
        <w:rPr>
          <w:rFonts w:ascii="Arial" w:hAnsi="Arial" w:cs="Arial"/>
          <w:sz w:val="24"/>
          <w:szCs w:val="24"/>
        </w:rPr>
        <w:t>настоящих Правил (далее - контрольные действия), применяемые в ходе самоконтроля и (или) контроля по уровню подчиненности (подведомственности), смежного контроля (далее - методы контроля).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2.5.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2.6. К способам проведения контрольных действий относятся: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2.7. Внутренний финансовый контроль осуществляется в соответствии с утвержденной картой внутреннего финансового контроля.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Утверждение карт внутреннего финансового контроля осуществляется руководителем (заместителем руководителя) главного администратора средств </w:t>
      </w:r>
      <w:r w:rsidR="00D85CA1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931B7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409" w:history="1">
        <w:r w:rsidR="002D6266" w:rsidRPr="00360B99">
          <w:rPr>
            <w:rFonts w:ascii="Arial" w:hAnsi="Arial" w:cs="Arial"/>
            <w:sz w:val="24"/>
            <w:szCs w:val="24"/>
          </w:rPr>
          <w:t>Карта</w:t>
        </w:r>
      </w:hyperlink>
      <w:r w:rsidR="002D6266" w:rsidRPr="00360B99">
        <w:rPr>
          <w:rFonts w:ascii="Arial" w:hAnsi="Arial" w:cs="Arial"/>
          <w:sz w:val="24"/>
          <w:szCs w:val="24"/>
        </w:rPr>
        <w:t>внутреннего финансового контроля составляется учреждением по рекомендуемому образцу (приложение N 2 кнастоящим Порядку).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2.8.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2.9. Процесс формирования (актуализации) карты внутреннего финансового контроля включает следующие этапы: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2.10. Формирование (актуализация) карты внутреннего финансового контроля осуществляется руководителем каждого подразделения, ответственного за результаты выполнения внутренних бюджетных процедур.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2.11. Актуализация карт внутреннего финансового контроля проводится: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до начала очередного финансового года;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б) при принятии решения руководителем (заместителем руководителя)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о внесении изменений в карту внутреннего финансового контроля;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B4577" w:rsidRPr="00360B99" w:rsidRDefault="00BB457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B4577" w:rsidRPr="00360B99" w:rsidRDefault="002D6266" w:rsidP="00BB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0B99">
        <w:rPr>
          <w:rFonts w:ascii="Arial" w:hAnsi="Arial" w:cs="Arial"/>
          <w:sz w:val="24"/>
          <w:szCs w:val="24"/>
        </w:rPr>
        <w:t xml:space="preserve">2.12. </w:t>
      </w:r>
      <w:r w:rsidR="00BB4577" w:rsidRPr="00360B99">
        <w:rPr>
          <w:rFonts w:ascii="Arial" w:eastAsiaTheme="minorHAnsi" w:hAnsi="Arial" w:cs="Arial"/>
          <w:sz w:val="24"/>
          <w:szCs w:val="24"/>
          <w:lang w:eastAsia="en-US"/>
        </w:rPr>
        <w:t>Формирование, утверждение и актуализация карт внутреннего финансового контроля осуществляются в порядке, установленном главным администратором средств местного бюджета.</w:t>
      </w:r>
    </w:p>
    <w:p w:rsidR="00BB4577" w:rsidRPr="00360B99" w:rsidRDefault="00BB4577" w:rsidP="00BB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266" w:rsidRPr="00360B99" w:rsidRDefault="002D6266" w:rsidP="00BB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Актуализация (формирование) карт внутреннего финансового контроля проводится не реже одного раза в год.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2.13. Ответственность за организацию внутреннего финансового контроля несет руководитель или заместитель руководителя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курирующие структурные подразделения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в соответствии с распределением обязанностей.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2.14. Главный администратор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обязан предоставлять в </w:t>
      </w:r>
      <w:r w:rsidR="00FA1976" w:rsidRPr="00360B99">
        <w:rPr>
          <w:rFonts w:ascii="Arial" w:hAnsi="Arial" w:cs="Arial"/>
          <w:sz w:val="24"/>
          <w:szCs w:val="24"/>
        </w:rPr>
        <w:t>администрацию Ворошневского сельсовета Курского района</w:t>
      </w:r>
      <w:r w:rsidRPr="00360B99">
        <w:rPr>
          <w:rFonts w:ascii="Arial" w:hAnsi="Arial" w:cs="Arial"/>
          <w:sz w:val="24"/>
          <w:szCs w:val="24"/>
        </w:rPr>
        <w:t xml:space="preserve"> запрашиваемую информацию и документы в целях проведения анализа осуществления внутреннего финансового контроля.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2.15. Внутренний финансовый контроль в подразделениях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2.16. Самоконтроль осуществляется сплошным способом должностным лицом каждого подразделения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процедурам и должностным инструкциями, а также путем оценки причин и обстоятельств (факторов), негативно влияющих на совершение операции.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 xml:space="preserve">2.17.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средств </w:t>
      </w:r>
      <w:r w:rsidR="00FA1976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(иным уполномоченным лицом)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2.18. 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средств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в отношении процедур и операций, совершенных подведомственными распорядителями и получателями бюджетных средств, администраторами доходов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и администраторами источников финансирования дефицита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 и процедурам, и путем сбора (запроса), анализа и оценки (мониторинга) главным администратором средств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2.19. Смежный контроль осуществляется сплошным и (или) выборочным способом руководителем подразделения главного администратора средств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(иным уполномоченным лицом) путем согласования (подтверждения) операций (действий по формированию документов, необходимых для выполнения внутренних бюджетных процедур), осуществляемых должностными лицами других структурных подразделений главного администратора средств </w:t>
      </w:r>
      <w:r w:rsidR="002224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2.20.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Форма регистра (</w:t>
      </w:r>
      <w:hyperlink w:anchor="P478" w:history="1">
        <w:r w:rsidRPr="00360B99">
          <w:rPr>
            <w:rFonts w:ascii="Arial" w:hAnsi="Arial" w:cs="Arial"/>
            <w:sz w:val="24"/>
            <w:szCs w:val="24"/>
          </w:rPr>
          <w:t>журнала</w:t>
        </w:r>
      </w:hyperlink>
      <w:r w:rsidRPr="00360B99">
        <w:rPr>
          <w:rFonts w:ascii="Arial" w:hAnsi="Arial" w:cs="Arial"/>
          <w:sz w:val="24"/>
          <w:szCs w:val="24"/>
        </w:rPr>
        <w:t>) составляется учреждением по рекомендуемому образцу (приложение N 4 к Порядку).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2.21. Регистры (журналы) внутреннего финансового контроля подлежат учету и хранению в установленном главным администратором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 порядке, в том числе с применением автоматизированных информационных систем.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Порядок ведения регистров (журналов) внутреннего финансового контроля, перечни должностных лиц, ответственных за их ведение, устанавливаются главными администраторами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 xml:space="preserve">2.22.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 с установленной руководителем главного администратора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периодичностью.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Порядок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 устанавливается главным администратором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2.23.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на изменение внутренних стандартов и процедур;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на устранение конфликта интересов у должностных лиц, осуществляющих внутренние бюджетные процедуры;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ж)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з) на ведение эффективной кадровой политики в отношении структурных подразделений главного администратора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2.24.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2.25. Главный администратор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 Осуществление внутреннего финансового аудита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3.1.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средств </w:t>
      </w:r>
      <w:r w:rsidR="009A6E97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3.2. Целями внутреннего финансового аудита являются: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подготовка предложений о повышении экономности и результативности использования бюджетных средств.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3.3. Объектами внутреннего финансового аудита являются структурные подразделения главного администратора средств </w:t>
      </w:r>
      <w:r w:rsidR="0074356F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администратора бюджетных средств, подведомственные им администраторы бюджетных средств и получатели бюджетных средств (далее - объекты аудита).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</w:t>
      </w:r>
      <w:r w:rsidR="0074356F" w:rsidRPr="00360B99">
        <w:rPr>
          <w:rFonts w:ascii="Arial" w:hAnsi="Arial" w:cs="Arial"/>
          <w:sz w:val="24"/>
          <w:szCs w:val="24"/>
        </w:rPr>
        <w:t xml:space="preserve"> местного</w:t>
      </w:r>
      <w:r w:rsidRPr="00360B99">
        <w:rPr>
          <w:rFonts w:ascii="Arial" w:hAnsi="Arial" w:cs="Arial"/>
          <w:sz w:val="24"/>
          <w:szCs w:val="24"/>
        </w:rPr>
        <w:t xml:space="preserve"> бюджета (далее - план).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3.5.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</w:t>
      </w:r>
      <w:r w:rsidR="0074356F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администратора бюджетных средств, направляемых в администраци</w:t>
      </w:r>
      <w:r w:rsidR="0074356F" w:rsidRPr="00360B99">
        <w:rPr>
          <w:rFonts w:ascii="Arial" w:hAnsi="Arial" w:cs="Arial"/>
          <w:sz w:val="24"/>
          <w:szCs w:val="24"/>
        </w:rPr>
        <w:t>юВорошневского сельсовета Курского района</w:t>
      </w:r>
      <w:r w:rsidRPr="00360B99">
        <w:rPr>
          <w:rFonts w:ascii="Arial" w:hAnsi="Arial" w:cs="Arial"/>
          <w:sz w:val="24"/>
          <w:szCs w:val="24"/>
        </w:rPr>
        <w:t xml:space="preserve"> в целях составления и рассмотрения проекта </w:t>
      </w:r>
      <w:r w:rsidR="0074356F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бюджета, в порядке, установленном главным администратором средств </w:t>
      </w:r>
      <w:r w:rsidR="0074356F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3.6. Аудиторские проверки подразделяются: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на выездные проверки, которые проводятся по месту нахождения объектов аудита;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3.7. Должностные лица субъекта внутреннего финансового аудита при проведении аудиторских проверок имеют право: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привлекать независимых экспертов.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Срок направления и исполнения указанного запроса устанавливается главным администратором средств </w:t>
      </w:r>
      <w:r w:rsidR="0074356F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3.8. Субъект внутреннего финансового аудита обязан: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проводить аудиторские проверки в соответствии с программой аудиторской проверки;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3.9. Ответственность за организацию внутреннего финансового аудита несет руководитель главного администратора средств </w:t>
      </w:r>
      <w:r w:rsidR="00BA3DFD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администратора бюджетных средств.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Руководитель главного администратора средств </w:t>
      </w:r>
      <w:r w:rsidR="00BA3DFD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3.10. Главный администратор средств </w:t>
      </w:r>
      <w:r w:rsidR="00BA3DFD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обязан предоставлять </w:t>
      </w:r>
      <w:r w:rsidR="00BA3DFD" w:rsidRPr="00360B99">
        <w:rPr>
          <w:rFonts w:ascii="Arial" w:hAnsi="Arial" w:cs="Arial"/>
          <w:sz w:val="24"/>
          <w:szCs w:val="24"/>
        </w:rPr>
        <w:t>администрации Ворошневского сельсовета Курского района</w:t>
      </w:r>
      <w:r w:rsidRPr="00360B99">
        <w:rPr>
          <w:rFonts w:ascii="Arial" w:hAnsi="Arial" w:cs="Arial"/>
          <w:sz w:val="24"/>
          <w:szCs w:val="24"/>
        </w:rPr>
        <w:t xml:space="preserve"> запрашиваемые им информацию и документы в целях проведения анализа осуществления внутреннего финансового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3.11. Составление, утверждение и ведение плана осуществляются в порядке, установленном главным администратором средств </w:t>
      </w:r>
      <w:r w:rsidR="00BA3DFD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администратором бюджетных средств.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3.12. План представляет собой перечень аудиторских проверок, которые планируется провести в очередном финансовом году.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По каждой аудиторской проверке в плане указываются тема аудиторской проверки, объекты аудита, срок проведения аудиторской проверки и ответственные исполнители.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3.13. При планировании аудиторских проверок (составлении плана и программы аудиторской проверки) учитываются: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</w:t>
      </w:r>
      <w:r w:rsidR="00354AC8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 администратора бюджетных средств в случае неправомерного исполнения этих операций;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которым, в том числе,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наличие значимых бюджетных рисков после проведения процедур внутреннего финансового контроля;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возможность проведения аудиторских проверок в установленные сроки;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3.14.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осуществления внутреннего финансового контроля за период, подлежащий аудиторской проверке;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проведения в текущем и (или) отчетном финансовом году контрольных мероприятийв отношении финансово-хозяйственной деятельности объектов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3.15. План составляется и утверждается до начала очередного финансового года.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3.16. Аудиторская проверка назначается решением руководителя главного администратора средств </w:t>
      </w:r>
      <w:r w:rsidR="0008088E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3.17.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тему аудиторской проверки;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наименование объектов аудита;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перечень вопросов, подлежащих изучению в ходе аудиторской проверки, а также сроки ее проведения.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>3.19. В ходе аудиторской проверки проводится исследование: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осуществления внутреннего финансового контроля;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законности выполнения внутренних бюджетных процедур и эффективности использования бюджетных средств;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з) бюджетной отчетности.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3.20. Аудиторская проверка проводится путем выполнения: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3.21.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</w:t>
      </w:r>
      <w:r w:rsidRPr="00360B99">
        <w:rPr>
          <w:rFonts w:ascii="Arial" w:hAnsi="Arial" w:cs="Arial"/>
          <w:sz w:val="24"/>
          <w:szCs w:val="24"/>
        </w:rPr>
        <w:lastRenderedPageBreak/>
        <w:t>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документы, отражающие подготовку аудиторской проверки, включая ее программу;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сведения о характере, сроках, об объеме аудиторской проверки и о результатах ее выполнения;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д) письменные заявления и объяснения, полученные от должностных лиц и иных работников объектов аудита;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е) копии финансово-хозяйственных документов объекта аудита, подтверждающих выявленные нарушения;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ж) акт аудиторской проверки.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3.23. Предельные сроки проведения аудиторских проверок, основания для их приостановления и продления устанавливаются главным администратором средств</w:t>
      </w:r>
      <w:r w:rsidR="0008088E" w:rsidRPr="00360B99">
        <w:rPr>
          <w:rFonts w:ascii="Arial" w:hAnsi="Arial" w:cs="Arial"/>
          <w:sz w:val="24"/>
          <w:szCs w:val="24"/>
        </w:rPr>
        <w:t xml:space="preserve"> местного</w:t>
      </w:r>
      <w:r w:rsidRPr="00360B99">
        <w:rPr>
          <w:rFonts w:ascii="Arial" w:hAnsi="Arial" w:cs="Arial"/>
          <w:sz w:val="24"/>
          <w:szCs w:val="24"/>
        </w:rPr>
        <w:t xml:space="preserve"> 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3.25. Формирование, направление и сроки рассмотрения акта аудиторской проверки объектом аудита осуществляются в порядке, устанавливаемом главным администратором средств </w:t>
      </w:r>
      <w:r w:rsidR="0008088E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3.26. На основании акта аудиторской проверки составляется </w:t>
      </w:r>
      <w:hyperlink w:anchor="P537" w:history="1">
        <w:r w:rsidRPr="00360B99">
          <w:rPr>
            <w:rFonts w:ascii="Arial" w:hAnsi="Arial" w:cs="Arial"/>
            <w:sz w:val="24"/>
            <w:szCs w:val="24"/>
          </w:rPr>
          <w:t>отчет</w:t>
        </w:r>
      </w:hyperlink>
      <w:r w:rsidRPr="00360B99">
        <w:rPr>
          <w:rFonts w:ascii="Arial" w:hAnsi="Arial" w:cs="Arial"/>
          <w:sz w:val="24"/>
          <w:szCs w:val="24"/>
        </w:rPr>
        <w:t xml:space="preserve"> о результатах аудиторской проверки, содержащий информацию об итогах аудиторской проверки, в том числе: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выводы о соответствии ведения бюджетного учета объектами аудита методологии и стандартам бюджетного учета;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</w:t>
      </w:r>
      <w:r w:rsidR="00F61140" w:rsidRPr="00360B99">
        <w:rPr>
          <w:rFonts w:ascii="Arial" w:hAnsi="Arial" w:cs="Arial"/>
          <w:sz w:val="24"/>
          <w:szCs w:val="24"/>
        </w:rPr>
        <w:t xml:space="preserve"> местного</w:t>
      </w:r>
      <w:r w:rsidRPr="00360B99">
        <w:rPr>
          <w:rFonts w:ascii="Arial" w:hAnsi="Arial" w:cs="Arial"/>
          <w:sz w:val="24"/>
          <w:szCs w:val="24"/>
        </w:rPr>
        <w:t xml:space="preserve"> 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3.27. Отчет о результатах аудиторской проверки с приложением акта аудиторской проверки направляется руководителю главного администратора средств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бюджета. По результатам рассмотрения указанного отчета </w:t>
      </w:r>
      <w:r w:rsidRPr="00360B99">
        <w:rPr>
          <w:rFonts w:ascii="Arial" w:hAnsi="Arial" w:cs="Arial"/>
          <w:sz w:val="24"/>
          <w:szCs w:val="24"/>
        </w:rPr>
        <w:lastRenderedPageBreak/>
        <w:t xml:space="preserve">руководитель главного администратора средств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 вправе принять одно или несколько из решений: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а) о необходимости реализации аудиторских выводов, предложений и рекомендаций;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б) о недостаточной обоснованности аудиторских выводов, предложений и рекомендаций;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3.28. 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3.29.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средств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 и процедур, а также к повышению эффективности использования бюджетных средств.</w:t>
      </w:r>
    </w:p>
    <w:p w:rsidR="00A60C63" w:rsidRPr="00360B99" w:rsidRDefault="00A60C6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3.30.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средств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бюджета.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Приложение N 1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 Порядку осуществления главными</w:t>
      </w:r>
    </w:p>
    <w:p w:rsidR="00F61140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распорядителями средств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>бюджета,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главнымиадминистраторами (администраторами)</w:t>
      </w:r>
    </w:p>
    <w:p w:rsidR="00F61140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доходов </w:t>
      </w:r>
      <w:r w:rsidR="00F61140" w:rsidRPr="00360B99">
        <w:rPr>
          <w:rFonts w:ascii="Arial" w:hAnsi="Arial" w:cs="Arial"/>
          <w:sz w:val="24"/>
          <w:szCs w:val="24"/>
        </w:rPr>
        <w:t xml:space="preserve"> местного </w:t>
      </w:r>
      <w:r w:rsidRPr="00360B99">
        <w:rPr>
          <w:rFonts w:ascii="Arial" w:hAnsi="Arial" w:cs="Arial"/>
          <w:sz w:val="24"/>
          <w:szCs w:val="24"/>
        </w:rPr>
        <w:t>бюджета,главными администраторами</w:t>
      </w:r>
    </w:p>
    <w:p w:rsidR="00F61140" w:rsidRPr="00360B99" w:rsidRDefault="002D6266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источниковфинансирования дефицита </w:t>
      </w:r>
      <w:r w:rsidR="00F61140" w:rsidRPr="00360B99">
        <w:rPr>
          <w:rFonts w:ascii="Arial" w:hAnsi="Arial" w:cs="Arial"/>
          <w:sz w:val="24"/>
          <w:szCs w:val="24"/>
        </w:rPr>
        <w:t xml:space="preserve">местного </w:t>
      </w:r>
      <w:r w:rsidRPr="00360B99">
        <w:rPr>
          <w:rFonts w:ascii="Arial" w:hAnsi="Arial" w:cs="Arial"/>
          <w:sz w:val="24"/>
          <w:szCs w:val="24"/>
        </w:rPr>
        <w:t xml:space="preserve">бюджета </w:t>
      </w:r>
    </w:p>
    <w:p w:rsidR="00F61140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внутреннего финансовогоконтроля и внутреннего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финансового аудита</w:t>
      </w:r>
    </w:p>
    <w:p w:rsidR="002D6266" w:rsidRPr="00360B99" w:rsidRDefault="002D62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ПЕРЕЧЕНЬ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операций (действий по формированию документов, необходимых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для выполнения внутренней бюджетной процедуры)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N 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по состоянию на "__" __________ 20__ г.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главного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администратора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бюджетных средств       ______________________________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бюджета    ______________________________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учреждения ______________________________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I.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(наименование внутренней бюджетной процедуры)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B370D" w:rsidRPr="00360B99" w:rsidRDefault="00AB370D">
      <w:pPr>
        <w:rPr>
          <w:rFonts w:ascii="Arial" w:hAnsi="Arial" w:cs="Arial"/>
          <w:sz w:val="24"/>
          <w:szCs w:val="24"/>
        </w:rPr>
        <w:sectPr w:rsidR="00AB370D" w:rsidRPr="00360B99" w:rsidSect="00D418EC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907"/>
        <w:gridCol w:w="1077"/>
        <w:gridCol w:w="925"/>
        <w:gridCol w:w="1122"/>
        <w:gridCol w:w="1191"/>
        <w:gridCol w:w="1077"/>
      </w:tblGrid>
      <w:tr w:rsidR="002D6266" w:rsidRPr="00360B99" w:rsidTr="00F61140">
        <w:tc>
          <w:tcPr>
            <w:tcW w:w="113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Операция</w:t>
            </w: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907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Бюджетные риски</w:t>
            </w:r>
          </w:p>
        </w:tc>
        <w:tc>
          <w:tcPr>
            <w:tcW w:w="3124" w:type="dxa"/>
            <w:gridSpan w:val="3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Матрица рисков</w:t>
            </w:r>
          </w:p>
        </w:tc>
        <w:tc>
          <w:tcPr>
            <w:tcW w:w="1191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Включить в карту ВФК</w:t>
            </w:r>
          </w:p>
        </w:tc>
        <w:tc>
          <w:tcPr>
            <w:tcW w:w="1077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Предложения по применению контрольных действий</w:t>
            </w: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Оценка вероятности</w:t>
            </w:r>
          </w:p>
        </w:tc>
        <w:tc>
          <w:tcPr>
            <w:tcW w:w="1122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Уровень рисков</w:t>
            </w:r>
          </w:p>
        </w:tc>
        <w:tc>
          <w:tcPr>
            <w:tcW w:w="1191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Вероятность наступления</w:t>
            </w: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</w:tc>
        <w:tc>
          <w:tcPr>
            <w:tcW w:w="1122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6266" w:rsidRPr="00360B99" w:rsidTr="00F61140">
        <w:tc>
          <w:tcPr>
            <w:tcW w:w="1134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F61140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II.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-------------------------------------------------------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(наименование внутренней бюджетной процедуры)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049"/>
        <w:gridCol w:w="907"/>
        <w:gridCol w:w="1077"/>
        <w:gridCol w:w="936"/>
        <w:gridCol w:w="1104"/>
        <w:gridCol w:w="1304"/>
        <w:gridCol w:w="1077"/>
      </w:tblGrid>
      <w:tr w:rsidR="002D6266" w:rsidRPr="00360B99">
        <w:tc>
          <w:tcPr>
            <w:tcW w:w="113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Процесс</w:t>
            </w: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Операция</w:t>
            </w:r>
          </w:p>
        </w:tc>
        <w:tc>
          <w:tcPr>
            <w:tcW w:w="1049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 xml:space="preserve">Должностное лицо, ответственное </w:t>
            </w: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за выполнение операции</w:t>
            </w:r>
          </w:p>
        </w:tc>
        <w:tc>
          <w:tcPr>
            <w:tcW w:w="907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Бюджетные риски</w:t>
            </w:r>
          </w:p>
        </w:tc>
        <w:tc>
          <w:tcPr>
            <w:tcW w:w="2013" w:type="dxa"/>
            <w:gridSpan w:val="2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Матрица рисков</w:t>
            </w:r>
          </w:p>
        </w:tc>
        <w:tc>
          <w:tcPr>
            <w:tcW w:w="110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Уровень рисков</w:t>
            </w:r>
          </w:p>
        </w:tc>
        <w:tc>
          <w:tcPr>
            <w:tcW w:w="130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Включить в карту ВФК</w:t>
            </w:r>
          </w:p>
        </w:tc>
        <w:tc>
          <w:tcPr>
            <w:tcW w:w="1077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 xml:space="preserve">Предложения по применению </w:t>
            </w: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контрольных действий</w:t>
            </w: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Оценка вероятности</w:t>
            </w:r>
          </w:p>
        </w:tc>
        <w:tc>
          <w:tcPr>
            <w:tcW w:w="110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Вероятн</w:t>
            </w: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ость наступления</w:t>
            </w: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После</w:t>
            </w: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дствия</w:t>
            </w:r>
          </w:p>
        </w:tc>
        <w:tc>
          <w:tcPr>
            <w:tcW w:w="110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6266" w:rsidRPr="00360B99">
        <w:tc>
          <w:tcPr>
            <w:tcW w:w="1134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 w:val="restart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113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Руководитель учреждения    ___________   _________   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(должность)   (подпись)   (расшифровка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"__" ____________ 20__ г.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Приложение N 2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 Порядку осуществления главными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распорядителями средств местного бюджета,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главнымиадминистраторами (администраторами)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>доходов  местного бюджета,главными администраторами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источниковфинансирования дефицита местного бюджета 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внутреннего финансовогоконтроля и внутреннего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финансового аудита</w:t>
      </w:r>
    </w:p>
    <w:p w:rsidR="00F61140" w:rsidRPr="00360B99" w:rsidRDefault="00F61140" w:rsidP="00F6114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409"/>
      <w:bookmarkEnd w:id="4"/>
      <w:r w:rsidRPr="00360B99">
        <w:rPr>
          <w:rFonts w:ascii="Arial" w:hAnsi="Arial" w:cs="Arial"/>
          <w:sz w:val="24"/>
          <w:szCs w:val="24"/>
        </w:rPr>
        <w:t xml:space="preserve"> КАРТА ВНУТРЕННЕГО ФИНАНСОВОГО КОНТРОЛЯ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на ________ год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                       УТВЕРЖДАЮ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главного                                Руководитель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администратора  _________________              главного администратора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бюджетных средств _______________                 бюджетных средств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бюджета ____________           _________ 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             (подпись) (расшифровка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учреждения ________</w:t>
      </w:r>
      <w:r w:rsidR="00640087" w:rsidRPr="00360B99">
        <w:rPr>
          <w:rFonts w:ascii="Arial" w:hAnsi="Arial" w:cs="Arial"/>
          <w:sz w:val="24"/>
          <w:szCs w:val="24"/>
        </w:rPr>
        <w:t>_______________</w:t>
      </w:r>
      <w:r w:rsidRPr="00360B99">
        <w:rPr>
          <w:rFonts w:ascii="Arial" w:hAnsi="Arial" w:cs="Arial"/>
          <w:sz w:val="24"/>
          <w:szCs w:val="24"/>
        </w:rPr>
        <w:t>_                    "__" _________ 20__ г.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474"/>
        <w:gridCol w:w="1276"/>
        <w:gridCol w:w="1304"/>
        <w:gridCol w:w="1134"/>
        <w:gridCol w:w="1134"/>
        <w:gridCol w:w="1134"/>
        <w:gridCol w:w="1304"/>
      </w:tblGrid>
      <w:tr w:rsidR="002D6266" w:rsidRPr="00360B99">
        <w:tc>
          <w:tcPr>
            <w:tcW w:w="850" w:type="dxa"/>
            <w:vMerge w:val="restart"/>
          </w:tcPr>
          <w:p w:rsidR="002D6266" w:rsidRPr="00360B99" w:rsidRDefault="006400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7" w:type="dxa"/>
            <w:vMerge w:val="restart"/>
          </w:tcPr>
          <w:p w:rsidR="002D6266" w:rsidRPr="00360B99" w:rsidRDefault="005B22A4" w:rsidP="005B22A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 xml:space="preserve">Бюджетная процедура </w:t>
            </w:r>
            <w:r w:rsidR="00640087" w:rsidRPr="00360B99">
              <w:rPr>
                <w:rFonts w:ascii="Arial" w:hAnsi="Arial" w:cs="Arial"/>
                <w:sz w:val="24"/>
                <w:szCs w:val="24"/>
              </w:rPr>
              <w:t>(</w:t>
            </w:r>
            <w:r w:rsidRPr="00360B99">
              <w:rPr>
                <w:rFonts w:ascii="Arial" w:hAnsi="Arial" w:cs="Arial"/>
                <w:sz w:val="24"/>
                <w:szCs w:val="24"/>
              </w:rPr>
              <w:t>о</w:t>
            </w:r>
            <w:r w:rsidR="002D6266" w:rsidRPr="00360B99">
              <w:rPr>
                <w:rFonts w:ascii="Arial" w:hAnsi="Arial" w:cs="Arial"/>
                <w:sz w:val="24"/>
                <w:szCs w:val="24"/>
              </w:rPr>
              <w:t>перация</w:t>
            </w:r>
            <w:r w:rsidR="00640087" w:rsidRPr="00360B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7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операции (ФИО, должность)</w:t>
            </w: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30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Должностное лицо, осуществляющее контрольное действие (ФИО, должность)</w:t>
            </w:r>
          </w:p>
        </w:tc>
        <w:tc>
          <w:tcPr>
            <w:tcW w:w="4706" w:type="dxa"/>
            <w:gridSpan w:val="4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2D6266" w:rsidRPr="00360B99">
        <w:tc>
          <w:tcPr>
            <w:tcW w:w="850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Метод контроля</w:t>
            </w: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Контрольное действие</w:t>
            </w: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Вид/ Способ контроля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Периодичность выполнения контрольных действий</w:t>
            </w:r>
          </w:p>
        </w:tc>
      </w:tr>
      <w:tr w:rsidR="002D6266" w:rsidRPr="00360B99">
        <w:tc>
          <w:tcPr>
            <w:tcW w:w="850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6266" w:rsidRPr="00360B99">
        <w:tc>
          <w:tcPr>
            <w:tcW w:w="850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>
        <w:tc>
          <w:tcPr>
            <w:tcW w:w="850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6266" w:rsidRPr="00360B99" w:rsidRDefault="002D6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266" w:rsidRPr="00360B99" w:rsidRDefault="002D62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Руководитель (заместитель руководителя)  ___________ _________ 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главного администратора                  (должность) (подпись) (расшифровка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(администратора) бюджетных средств                               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Руководитель учреждения  ___________ _________ ___________</w:t>
      </w:r>
      <w:r w:rsidR="00640087" w:rsidRPr="00360B99">
        <w:rPr>
          <w:rFonts w:ascii="Arial" w:hAnsi="Arial" w:cs="Arial"/>
          <w:sz w:val="24"/>
          <w:szCs w:val="24"/>
        </w:rPr>
        <w:t>_____________</w:t>
      </w:r>
      <w:r w:rsidRPr="00360B99">
        <w:rPr>
          <w:rFonts w:ascii="Arial" w:hAnsi="Arial" w:cs="Arial"/>
          <w:sz w:val="24"/>
          <w:szCs w:val="24"/>
        </w:rPr>
        <w:t>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(должность) (подпись) (расшифровка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                                  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"__" ___________ 20__ г.</w:t>
      </w: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61140" w:rsidRPr="00360B99" w:rsidRDefault="00F61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60C63" w:rsidRPr="00360B99" w:rsidRDefault="00A60C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Приложение N 3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к Порядку осуществления главными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распорядителями средств местного бюджета,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главнымиадминистраторами (администраторами)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доходов  местного бюджета,главными администраторами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источниковфинансирования дефицита местного бюджета 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внутреннего финансовогоконтроля и внутреннего</w:t>
      </w:r>
    </w:p>
    <w:p w:rsidR="00F61140" w:rsidRPr="00360B99" w:rsidRDefault="00F61140" w:rsidP="00F611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финансового аудита</w:t>
      </w:r>
    </w:p>
    <w:p w:rsidR="00F61140" w:rsidRPr="00360B99" w:rsidRDefault="00F61140" w:rsidP="00F6114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478"/>
      <w:bookmarkEnd w:id="5"/>
      <w:r w:rsidRPr="00360B99">
        <w:rPr>
          <w:rFonts w:ascii="Arial" w:hAnsi="Arial" w:cs="Arial"/>
          <w:sz w:val="24"/>
          <w:szCs w:val="24"/>
        </w:rPr>
        <w:t xml:space="preserve">                                  ЖУРНАЛ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учета результатов внутреннего финансового контроля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 за ____ год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главного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администратора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бюджетных средств       ______________________________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бюджета    ______________________________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учреждения ______________________________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91"/>
        <w:gridCol w:w="1304"/>
        <w:gridCol w:w="1304"/>
        <w:gridCol w:w="1417"/>
        <w:gridCol w:w="1077"/>
        <w:gridCol w:w="1565"/>
        <w:gridCol w:w="1099"/>
        <w:gridCol w:w="1020"/>
      </w:tblGrid>
      <w:tr w:rsidR="002D6266" w:rsidRPr="00360B99" w:rsidTr="003E6C1B">
        <w:tc>
          <w:tcPr>
            <w:tcW w:w="70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Наименование операции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41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565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09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Предлагаемые меры по устранен</w:t>
            </w:r>
            <w:bookmarkStart w:id="6" w:name="_GoBack"/>
            <w:bookmarkEnd w:id="6"/>
            <w:r w:rsidRPr="00360B99">
              <w:rPr>
                <w:rFonts w:ascii="Arial" w:hAnsi="Arial" w:cs="Arial"/>
                <w:sz w:val="24"/>
                <w:szCs w:val="24"/>
              </w:rPr>
              <w:t>ию недостатков (нарушений), причин их возникновения</w:t>
            </w:r>
          </w:p>
        </w:tc>
        <w:tc>
          <w:tcPr>
            <w:tcW w:w="1020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Отметка об устранении</w:t>
            </w:r>
          </w:p>
        </w:tc>
      </w:tr>
      <w:tr w:rsidR="002D6266" w:rsidRPr="00360B99" w:rsidTr="003E6C1B">
        <w:tc>
          <w:tcPr>
            <w:tcW w:w="70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6266" w:rsidRPr="00360B99" w:rsidTr="003E6C1B">
        <w:tc>
          <w:tcPr>
            <w:tcW w:w="70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 настоящем Журнале пронумеровано и прошнуровано ___________________ листов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Руководитель учреждения        ___________  _________ 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(должность)  (подпись) (расшифровка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lastRenderedPageBreak/>
        <w:t>"__" ___________ 20__ г.</w:t>
      </w:r>
    </w:p>
    <w:p w:rsidR="002D6266" w:rsidRPr="00360B99" w:rsidRDefault="002D6266">
      <w:pPr>
        <w:rPr>
          <w:rFonts w:ascii="Arial" w:hAnsi="Arial" w:cs="Arial"/>
          <w:sz w:val="24"/>
          <w:szCs w:val="24"/>
        </w:rPr>
        <w:sectPr w:rsidR="002D6266" w:rsidRPr="00360B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Приложение N 4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7" w:name="P537"/>
      <w:bookmarkEnd w:id="7"/>
      <w:r w:rsidRPr="00360B99">
        <w:rPr>
          <w:rFonts w:ascii="Arial" w:hAnsi="Arial" w:cs="Arial"/>
          <w:sz w:val="24"/>
          <w:szCs w:val="24"/>
        </w:rPr>
        <w:t>к Порядку осуществления главными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распорядителями средств местного бюджета,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главнымиадминистраторами (администраторами)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доходов  местного бюджета,главными администраторами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источниковфинансирования дефицита местного бюджета 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внутреннего финансовогоконтроля и внутреннего</w:t>
      </w:r>
    </w:p>
    <w:p w:rsidR="00A54068" w:rsidRPr="00360B99" w:rsidRDefault="00A54068" w:rsidP="00A540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финансового аудита</w:t>
      </w:r>
    </w:p>
    <w:p w:rsidR="00A54068" w:rsidRPr="00360B99" w:rsidRDefault="00A54068" w:rsidP="00A5406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о результатах внутреннего финансового контроля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по состоянию на "__" __________ 20__ г.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главного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администратора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бюджетных средств       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бюджета    _____________________________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Наименование учреждения _____________________________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276"/>
        <w:gridCol w:w="1157"/>
        <w:gridCol w:w="1984"/>
        <w:gridCol w:w="2104"/>
      </w:tblGrid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Методы контроля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Количество контрольных действий</w:t>
            </w: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Количество принятых мер, исполненных заключений</w:t>
            </w: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1. Самоконтроль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2. Смежный контроль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3. Контроль по подчиненности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4. Контроль по подведомственности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266" w:rsidRPr="00360B99" w:rsidTr="003E6C1B">
        <w:tc>
          <w:tcPr>
            <w:tcW w:w="289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60B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2D6266" w:rsidRPr="00360B99" w:rsidRDefault="002D62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Руководитель учреждения     ___________ _________ _____________________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 xml:space="preserve">                            (должность) (подпись) (расшифровка подписи)</w:t>
      </w:r>
    </w:p>
    <w:p w:rsidR="002D6266" w:rsidRPr="00360B99" w:rsidRDefault="002D62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0B99">
        <w:rPr>
          <w:rFonts w:ascii="Arial" w:hAnsi="Arial" w:cs="Arial"/>
          <w:sz w:val="24"/>
          <w:szCs w:val="24"/>
        </w:rPr>
        <w:t>"__" ___________ 20__ г.</w:t>
      </w: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266" w:rsidRPr="00360B99" w:rsidRDefault="002D62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B41F5" w:rsidRPr="00360B99" w:rsidRDefault="001B41F5">
      <w:pPr>
        <w:rPr>
          <w:rFonts w:ascii="Arial" w:hAnsi="Arial" w:cs="Arial"/>
          <w:sz w:val="24"/>
          <w:szCs w:val="24"/>
        </w:rPr>
      </w:pPr>
    </w:p>
    <w:sectPr w:rsidR="001B41F5" w:rsidRPr="00360B99" w:rsidSect="002A5B2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61" w:rsidRDefault="006C7A61" w:rsidP="0095565E">
      <w:pPr>
        <w:spacing w:after="0" w:line="240" w:lineRule="auto"/>
      </w:pPr>
      <w:r>
        <w:separator/>
      </w:r>
    </w:p>
  </w:endnote>
  <w:endnote w:type="continuationSeparator" w:id="1">
    <w:p w:rsidR="006C7A61" w:rsidRDefault="006C7A61" w:rsidP="0095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61" w:rsidRDefault="006C7A61" w:rsidP="0095565E">
      <w:pPr>
        <w:spacing w:after="0" w:line="240" w:lineRule="auto"/>
      </w:pPr>
      <w:r>
        <w:separator/>
      </w:r>
    </w:p>
  </w:footnote>
  <w:footnote w:type="continuationSeparator" w:id="1">
    <w:p w:rsidR="006C7A61" w:rsidRDefault="006C7A61" w:rsidP="0095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6266"/>
    <w:rsid w:val="0003294C"/>
    <w:rsid w:val="00041AEB"/>
    <w:rsid w:val="0008088E"/>
    <w:rsid w:val="001B41F5"/>
    <w:rsid w:val="00222497"/>
    <w:rsid w:val="002A5B25"/>
    <w:rsid w:val="002D6266"/>
    <w:rsid w:val="00354AC8"/>
    <w:rsid w:val="00360B99"/>
    <w:rsid w:val="003E6C1B"/>
    <w:rsid w:val="004B2BCD"/>
    <w:rsid w:val="005B22A4"/>
    <w:rsid w:val="00624258"/>
    <w:rsid w:val="00640087"/>
    <w:rsid w:val="006C7A61"/>
    <w:rsid w:val="006E3218"/>
    <w:rsid w:val="0071422D"/>
    <w:rsid w:val="0074356F"/>
    <w:rsid w:val="00931B71"/>
    <w:rsid w:val="00942253"/>
    <w:rsid w:val="0095565E"/>
    <w:rsid w:val="009A6E97"/>
    <w:rsid w:val="00A0619C"/>
    <w:rsid w:val="00A44B45"/>
    <w:rsid w:val="00A54068"/>
    <w:rsid w:val="00A60C63"/>
    <w:rsid w:val="00AB370D"/>
    <w:rsid w:val="00B36E8D"/>
    <w:rsid w:val="00BA3DFD"/>
    <w:rsid w:val="00BB4577"/>
    <w:rsid w:val="00BC21B5"/>
    <w:rsid w:val="00BC492D"/>
    <w:rsid w:val="00C42880"/>
    <w:rsid w:val="00C82C07"/>
    <w:rsid w:val="00C91581"/>
    <w:rsid w:val="00C918EB"/>
    <w:rsid w:val="00CA2B46"/>
    <w:rsid w:val="00CB4F90"/>
    <w:rsid w:val="00D418EC"/>
    <w:rsid w:val="00D85CA1"/>
    <w:rsid w:val="00E15F96"/>
    <w:rsid w:val="00EE5EA4"/>
    <w:rsid w:val="00F61140"/>
    <w:rsid w:val="00FA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6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65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7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6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65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7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910CA5D096C4563EEB40463C27C7D05966152FF0F3DA4ACCA0B5365CBBC0Ef62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910CA5D096C4563EEB41260AE2671009F3F5AFA0337F5F895500E32C2B6592A98375D4D8FfB2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2C1F-5661-449C-A951-29C7B11C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2018-06-13T07:34:00Z</cp:lastPrinted>
  <dcterms:created xsi:type="dcterms:W3CDTF">2018-06-13T07:38:00Z</dcterms:created>
  <dcterms:modified xsi:type="dcterms:W3CDTF">2018-06-13T09:53:00Z</dcterms:modified>
</cp:coreProperties>
</file>